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60" w:lineRule="exact"/>
        <w:ind w:left="0" w:right="0"/>
        <w:jc w:val="left"/>
        <w:rPr>
          <w:rFonts w:hint="eastAsia" w:ascii="Times New Roman" w:hAnsi="Times New Roman" w:eastAsia="黑体" w:cs="方正黑体_GBK"/>
          <w:kern w:val="2"/>
          <w:sz w:val="32"/>
          <w:szCs w:val="32"/>
          <w:lang w:val="en-US" w:eastAsia="zh-CN" w:bidi="ar"/>
        </w:rPr>
      </w:pPr>
      <w:r>
        <w:rPr>
          <w:rFonts w:hint="eastAsia" w:ascii="Times New Roman" w:hAnsi="黑体" w:eastAsia="黑体" w:cs="方正黑体_GBK"/>
          <w:kern w:val="2"/>
          <w:sz w:val="32"/>
          <w:szCs w:val="32"/>
          <w:lang w:val="en-US" w:eastAsia="zh-CN" w:bidi="ar"/>
        </w:rPr>
        <w:t>附件</w:t>
      </w:r>
    </w:p>
    <w:p>
      <w:pPr>
        <w:spacing w:line="560" w:lineRule="exact"/>
        <w:jc w:val="center"/>
        <w:rPr>
          <w:rFonts w:hint="eastAsia" w:ascii="Times New Roman" w:hAnsi="Times New Roman" w:eastAsia="方正小标宋_GBK" w:cs="方正小标宋_GBK"/>
          <w:b/>
          <w:kern w:val="0"/>
          <w:sz w:val="32"/>
          <w:szCs w:val="32"/>
        </w:rPr>
      </w:pPr>
    </w:p>
    <w:p>
      <w:pPr>
        <w:spacing w:line="560" w:lineRule="exact"/>
        <w:jc w:val="center"/>
        <w:rPr>
          <w:rFonts w:hint="eastAsia" w:ascii="Times New Roman" w:hAnsi="Times New Roman" w:eastAsia="方正小标宋简体" w:cs="方正小标宋_GBK"/>
          <w:kern w:val="0"/>
          <w:sz w:val="44"/>
          <w:szCs w:val="44"/>
        </w:rPr>
      </w:pPr>
      <w:r>
        <w:rPr>
          <w:rFonts w:hint="eastAsia" w:ascii="Times New Roman" w:hAnsi="Times New Roman" w:eastAsia="方正小标宋简体" w:cs="方正小标宋_GBK"/>
          <w:kern w:val="0"/>
          <w:sz w:val="44"/>
          <w:szCs w:val="44"/>
        </w:rPr>
        <w:t>养老托育服务发展主要指标</w:t>
      </w:r>
    </w:p>
    <w:p>
      <w:pPr>
        <w:widowControl/>
        <w:spacing w:before="0" w:beforeAutospacing="0" w:after="0" w:afterAutospacing="0" w:line="560" w:lineRule="exact"/>
        <w:ind w:left="0" w:right="0"/>
        <w:jc w:val="left"/>
        <w:rPr>
          <w:rFonts w:ascii="Times New Roman" w:hAnsi="Times New Roman" w:eastAsia="仿宋_GB2312" w:cs="Times New Roman"/>
          <w:kern w:val="2"/>
          <w:sz w:val="32"/>
          <w:szCs w:val="32"/>
          <w:lang w:val="en-US" w:eastAsia="zh-CN" w:bidi="ar"/>
        </w:rPr>
      </w:pPr>
    </w:p>
    <w:tbl>
      <w:tblPr>
        <w:tblStyle w:val="6"/>
        <w:tblW w:w="92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97"/>
        <w:gridCol w:w="602"/>
        <w:gridCol w:w="3890"/>
        <w:gridCol w:w="890"/>
        <w:gridCol w:w="910"/>
        <w:gridCol w:w="970"/>
        <w:gridCol w:w="12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8" w:hRule="atLeast"/>
          <w:tblHeader/>
          <w:jc w:val="center"/>
        </w:trPr>
        <w:tc>
          <w:tcPr>
            <w:tcW w:w="697" w:type="dxa"/>
            <w:shd w:val="clear" w:color="auto" w:fill="FFFFFF"/>
            <w:noWrap w:val="0"/>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方正仿宋_GBK"/>
                <w:bCs/>
                <w:kern w:val="0"/>
                <w:sz w:val="24"/>
              </w:rPr>
            </w:pPr>
            <w:r>
              <w:rPr>
                <w:rFonts w:hint="eastAsia" w:ascii="Times New Roman" w:hAnsi="黑体" w:eastAsia="黑体" w:cs="方正黑体_GBK"/>
                <w:kern w:val="0"/>
                <w:sz w:val="24"/>
              </w:rPr>
              <w:t>项目</w:t>
            </w:r>
          </w:p>
        </w:tc>
        <w:tc>
          <w:tcPr>
            <w:tcW w:w="602" w:type="dxa"/>
            <w:shd w:val="clear" w:color="auto" w:fill="FFFFFF"/>
            <w:noWrap w:val="0"/>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方正黑体_GBK"/>
                <w:kern w:val="0"/>
                <w:sz w:val="24"/>
              </w:rPr>
            </w:pPr>
            <w:r>
              <w:rPr>
                <w:rFonts w:hint="eastAsia" w:ascii="Times New Roman" w:hAnsi="黑体" w:eastAsia="黑体" w:cs="方正黑体_GBK"/>
                <w:kern w:val="0"/>
                <w:sz w:val="24"/>
              </w:rPr>
              <w:t>序号</w:t>
            </w:r>
          </w:p>
        </w:tc>
        <w:tc>
          <w:tcPr>
            <w:tcW w:w="3890" w:type="dxa"/>
            <w:shd w:val="clear" w:color="auto" w:fill="FFFFFF"/>
            <w:noWrap w:val="0"/>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方正黑体_GBK"/>
                <w:kern w:val="0"/>
                <w:sz w:val="24"/>
              </w:rPr>
            </w:pPr>
            <w:r>
              <w:rPr>
                <w:rFonts w:hint="eastAsia" w:ascii="Times New Roman" w:hAnsi="黑体" w:eastAsia="黑体" w:cs="方正黑体_GBK"/>
                <w:kern w:val="0"/>
                <w:sz w:val="24"/>
              </w:rPr>
              <w:t>指标名称</w:t>
            </w:r>
          </w:p>
        </w:tc>
        <w:tc>
          <w:tcPr>
            <w:tcW w:w="890" w:type="dxa"/>
            <w:shd w:val="clear" w:color="auto" w:fill="FFFFFF"/>
            <w:noWrap w:val="0"/>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方正黑体_GBK"/>
                <w:kern w:val="0"/>
                <w:sz w:val="24"/>
              </w:rPr>
            </w:pPr>
            <w:r>
              <w:rPr>
                <w:rFonts w:hint="eastAsia" w:ascii="Times New Roman" w:hAnsi="Times New Roman" w:eastAsia="黑体" w:cs="方正黑体_GBK"/>
                <w:kern w:val="0"/>
                <w:sz w:val="24"/>
              </w:rPr>
              <w:t>2020</w:t>
            </w:r>
            <w:r>
              <w:rPr>
                <w:rFonts w:hint="eastAsia" w:ascii="Times New Roman" w:hAnsi="黑体" w:eastAsia="黑体" w:cs="方正黑体_GBK"/>
                <w:kern w:val="0"/>
                <w:sz w:val="24"/>
              </w:rPr>
              <w:t>年</w:t>
            </w:r>
          </w:p>
        </w:tc>
        <w:tc>
          <w:tcPr>
            <w:tcW w:w="910" w:type="dxa"/>
            <w:shd w:val="clear" w:color="auto" w:fill="FFFFFF"/>
            <w:noWrap w:val="0"/>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方正黑体_GBK"/>
                <w:kern w:val="0"/>
                <w:sz w:val="24"/>
              </w:rPr>
            </w:pPr>
            <w:r>
              <w:rPr>
                <w:rFonts w:hint="eastAsia" w:ascii="Times New Roman" w:hAnsi="Times New Roman" w:eastAsia="黑体" w:cs="方正黑体_GBK"/>
                <w:kern w:val="0"/>
                <w:sz w:val="24"/>
              </w:rPr>
              <w:t>2025</w:t>
            </w:r>
            <w:r>
              <w:rPr>
                <w:rFonts w:hint="eastAsia" w:ascii="Times New Roman" w:hAnsi="黑体" w:eastAsia="黑体" w:cs="方正黑体_GBK"/>
                <w:kern w:val="0"/>
                <w:sz w:val="24"/>
              </w:rPr>
              <w:t>年</w:t>
            </w:r>
          </w:p>
        </w:tc>
        <w:tc>
          <w:tcPr>
            <w:tcW w:w="970" w:type="dxa"/>
            <w:shd w:val="clear" w:color="auto" w:fill="FFFFFF"/>
            <w:noWrap w:val="0"/>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方正黑体_GBK"/>
                <w:kern w:val="0"/>
                <w:sz w:val="24"/>
              </w:rPr>
            </w:pPr>
            <w:r>
              <w:rPr>
                <w:rFonts w:hint="eastAsia" w:ascii="Times New Roman" w:hAnsi="黑体" w:eastAsia="黑体" w:cs="方正黑体_GBK"/>
                <w:kern w:val="0"/>
                <w:sz w:val="24"/>
              </w:rPr>
              <w:t>属性</w:t>
            </w:r>
          </w:p>
        </w:tc>
        <w:tc>
          <w:tcPr>
            <w:tcW w:w="1296" w:type="dxa"/>
            <w:shd w:val="clear" w:color="auto" w:fill="FFFFFF"/>
            <w:noWrap w:val="0"/>
            <w:tcMar>
              <w:top w:w="57" w:type="dxa"/>
              <w:left w:w="57" w:type="dxa"/>
              <w:bottom w:w="57" w:type="dxa"/>
              <w:right w:w="57" w:type="dxa"/>
            </w:tcMar>
            <w:vAlign w:val="center"/>
          </w:tcPr>
          <w:p>
            <w:pPr>
              <w:widowControl/>
              <w:spacing w:line="560" w:lineRule="exact"/>
              <w:jc w:val="center"/>
              <w:rPr>
                <w:rFonts w:hint="eastAsia" w:ascii="Times New Roman" w:hAnsi="Times New Roman" w:eastAsia="黑体" w:cs="方正黑体_GBK"/>
                <w:kern w:val="0"/>
                <w:sz w:val="24"/>
              </w:rPr>
            </w:pPr>
            <w:r>
              <w:rPr>
                <w:rFonts w:hint="eastAsia" w:ascii="Times New Roman" w:hAnsi="黑体" w:eastAsia="黑体" w:cs="方正黑体_GBK"/>
                <w:kern w:val="0"/>
                <w:sz w:val="24"/>
              </w:rPr>
              <w:t>责任单位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restart"/>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养老 服务</w:t>
            </w: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生活不能自理特困人员集中供养率</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39%</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约束性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ind w:firstLine="480"/>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spacing w:val="-6"/>
                <w:kern w:val="0"/>
                <w:szCs w:val="21"/>
              </w:rPr>
              <w:t>有集中供养意愿的特困人员集中供养率</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预期性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特殊困难老年人月探访率</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79%</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预期性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新建居住（小）区养老服务设施达标率</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39%</w:t>
            </w:r>
          </w:p>
        </w:tc>
        <w:tc>
          <w:tcPr>
            <w:tcW w:w="910" w:type="dxa"/>
            <w:shd w:val="clear" w:color="auto" w:fill="FFFFFF"/>
            <w:noWrap w:val="0"/>
            <w:tcMar>
              <w:top w:w="57" w:type="dxa"/>
              <w:left w:w="57" w:type="dxa"/>
              <w:bottom w:w="57" w:type="dxa"/>
              <w:right w:w="57" w:type="dxa"/>
            </w:tcMar>
            <w:vAlign w:val="center"/>
          </w:tcPr>
          <w:p>
            <w:pPr>
              <w:widowControl/>
              <w:tabs>
                <w:tab w:val="left" w:pos="248"/>
                <w:tab w:val="center" w:pos="625"/>
              </w:tabs>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约束性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pacing w:val="-23"/>
                <w:kern w:val="0"/>
                <w:szCs w:val="21"/>
              </w:rPr>
            </w:pPr>
            <w:r>
              <w:rPr>
                <w:rFonts w:hint="eastAsia" w:ascii="Times New Roman" w:hAnsi="Times New Roman" w:eastAsia="仿宋_GB2312" w:cs="方正仿宋_GBK"/>
                <w:spacing w:val="-23"/>
                <w:kern w:val="0"/>
                <w:szCs w:val="21"/>
              </w:rPr>
              <w:t>住房城乡建设厅</w:t>
            </w:r>
          </w:p>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自然资源厅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ind w:firstLine="480"/>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乡镇（街道）范围具有综合服务功能的养老服务机构覆盖率</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45%</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预期性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养老机构护理型床位占比</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38%</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约束性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医疗机构为老年人提供挂号就医等便利服务绿色通道的比例</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预期性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szCs w:val="21"/>
              </w:rPr>
              <w:t>卫生健康委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具备医养结合服务能力（医养结合机构或与医疗机构签订合作协议）养老机构占比</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74%</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预期性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Times New Roman"/>
                <w:kern w:val="0"/>
                <w:szCs w:val="21"/>
              </w:rPr>
              <w:t>65岁及以上老年人健康管理率</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70.45%</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预期性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卫生健康委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3890" w:type="dxa"/>
            <w:shd w:val="clear" w:color="auto" w:fill="FFFFFF"/>
            <w:noWrap w:val="0"/>
            <w:tcMar>
              <w:top w:w="57" w:type="dxa"/>
              <w:left w:w="57" w:type="dxa"/>
              <w:bottom w:w="57" w:type="dxa"/>
              <w:right w:w="57" w:type="dxa"/>
            </w:tcMar>
            <w:vAlign w:val="center"/>
          </w:tcPr>
          <w:p>
            <w:pPr>
              <w:widowControl/>
              <w:spacing w:line="300" w:lineRule="exact"/>
              <w:jc w:val="lef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县（市、区）建有老年大学分校（老年学校）比例</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86%</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szCs w:val="21"/>
              </w:rPr>
              <w:t>100%</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r>
              <w:rPr>
                <w:rFonts w:hint="eastAsia" w:ascii="Times New Roman" w:hAnsi="Times New Roman" w:eastAsia="仿宋_GB2312" w:cs="方正仿宋_GBK"/>
                <w:szCs w:val="21"/>
              </w:rPr>
              <w:t>约束性</w:t>
            </w:r>
          </w:p>
        </w:tc>
        <w:tc>
          <w:tcPr>
            <w:tcW w:w="1296"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r>
              <w:rPr>
                <w:rFonts w:hint="eastAsia" w:ascii="Times New Roman" w:hAnsi="Times New Roman" w:eastAsia="仿宋_GB2312" w:cs="方正仿宋_GBK"/>
                <w:szCs w:val="21"/>
              </w:rPr>
              <w:t>老干部局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restart"/>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托育 服务</w:t>
            </w: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11</w:t>
            </w:r>
          </w:p>
        </w:tc>
        <w:tc>
          <w:tcPr>
            <w:tcW w:w="3890" w:type="dxa"/>
            <w:shd w:val="clear" w:color="auto" w:fill="FFFFFF"/>
            <w:noWrap w:val="0"/>
            <w:tcMar>
              <w:top w:w="57" w:type="dxa"/>
              <w:left w:w="57" w:type="dxa"/>
              <w:bottom w:w="57" w:type="dxa"/>
              <w:right w:w="57" w:type="dxa"/>
            </w:tcMar>
            <w:vAlign w:val="center"/>
          </w:tcPr>
          <w:p>
            <w:pPr>
              <w:widowControl/>
              <w:spacing w:line="300" w:lineRule="exac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每千人口拥有3岁以下婴幼儿托位数</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0.09</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3.5</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r>
              <w:rPr>
                <w:rFonts w:hint="eastAsia" w:ascii="Times New Roman" w:hAnsi="Times New Roman" w:eastAsia="仿宋_GB2312" w:cs="方正仿宋_GBK"/>
                <w:szCs w:val="21"/>
              </w:rPr>
              <w:t>预期性</w:t>
            </w:r>
          </w:p>
        </w:tc>
        <w:tc>
          <w:tcPr>
            <w:tcW w:w="1296" w:type="dxa"/>
            <w:vMerge w:val="restart"/>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r>
              <w:rPr>
                <w:rFonts w:hint="eastAsia" w:ascii="Times New Roman" w:hAnsi="Times New Roman" w:eastAsia="仿宋_GB2312" w:cs="方正仿宋_GBK"/>
                <w:szCs w:val="21"/>
              </w:rPr>
              <w:t>卫生健康委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3890" w:type="dxa"/>
            <w:shd w:val="clear" w:color="auto" w:fill="FFFFFF"/>
            <w:noWrap w:val="0"/>
            <w:tcMar>
              <w:top w:w="57" w:type="dxa"/>
              <w:left w:w="57" w:type="dxa"/>
              <w:bottom w:w="57" w:type="dxa"/>
              <w:right w:w="57" w:type="dxa"/>
            </w:tcMar>
            <w:vAlign w:val="center"/>
          </w:tcPr>
          <w:p>
            <w:pPr>
              <w:widowControl/>
              <w:spacing w:line="300" w:lineRule="exac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3岁以下儿童系统管理率</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lang w:eastAsia="zh"/>
              </w:rPr>
            </w:pPr>
            <w:r>
              <w:rPr>
                <w:rFonts w:hint="eastAsia" w:ascii="Times New Roman" w:hAnsi="Times New Roman" w:eastAsia="仿宋_GB2312" w:cs="Times New Roman"/>
                <w:kern w:val="0"/>
                <w:szCs w:val="21"/>
              </w:rPr>
              <w:t>95</w:t>
            </w:r>
            <w:r>
              <w:rPr>
                <w:rFonts w:hint="eastAsia" w:ascii="Times New Roman" w:hAnsi="Times New Roman" w:eastAsia="仿宋_GB2312" w:cs="Times New Roman"/>
                <w:kern w:val="0"/>
                <w:szCs w:val="21"/>
                <w:lang w:eastAsia="zh"/>
              </w:rPr>
              <w:t>%</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lang w:eastAsia="zh"/>
              </w:rPr>
            </w:pPr>
            <w:r>
              <w:rPr>
                <w:rFonts w:hint="eastAsia" w:ascii="Times New Roman" w:hAnsi="Times New Roman" w:eastAsia="仿宋_GB2312" w:cs="Times New Roman"/>
                <w:kern w:val="0"/>
                <w:szCs w:val="21"/>
              </w:rPr>
              <w:t>95</w:t>
            </w:r>
            <w:r>
              <w:rPr>
                <w:rFonts w:hint="eastAsia" w:ascii="Times New Roman" w:hAnsi="Times New Roman" w:eastAsia="仿宋_GB2312" w:cs="Times New Roman"/>
                <w:kern w:val="0"/>
                <w:szCs w:val="21"/>
                <w:lang w:eastAsia="zh"/>
              </w:rPr>
              <w:t>%</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r>
              <w:rPr>
                <w:rFonts w:hint="eastAsia" w:ascii="Times New Roman" w:hAnsi="Times New Roman" w:eastAsia="仿宋_GB2312" w:cs="方正仿宋_GBK"/>
                <w:szCs w:val="21"/>
              </w:rPr>
              <w:t>约束性</w:t>
            </w:r>
          </w:p>
        </w:tc>
        <w:tc>
          <w:tcPr>
            <w:tcW w:w="1296"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1" w:hRule="atLeast"/>
          <w:jc w:val="center"/>
        </w:trPr>
        <w:tc>
          <w:tcPr>
            <w:tcW w:w="697"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kern w:val="0"/>
                <w:szCs w:val="21"/>
              </w:rPr>
            </w:pPr>
          </w:p>
        </w:tc>
        <w:tc>
          <w:tcPr>
            <w:tcW w:w="602"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13</w:t>
            </w:r>
          </w:p>
        </w:tc>
        <w:tc>
          <w:tcPr>
            <w:tcW w:w="3890" w:type="dxa"/>
            <w:shd w:val="clear" w:color="auto" w:fill="FFFFFF"/>
            <w:noWrap w:val="0"/>
            <w:tcMar>
              <w:top w:w="57" w:type="dxa"/>
              <w:left w:w="57" w:type="dxa"/>
              <w:bottom w:w="57" w:type="dxa"/>
              <w:right w:w="57" w:type="dxa"/>
            </w:tcMar>
            <w:vAlign w:val="center"/>
          </w:tcPr>
          <w:p>
            <w:pPr>
              <w:widowControl/>
              <w:spacing w:line="300" w:lineRule="exact"/>
              <w:rPr>
                <w:rFonts w:hint="eastAsia" w:ascii="Times New Roman" w:hAnsi="Times New Roman" w:eastAsia="仿宋_GB2312" w:cs="方正仿宋_GBK"/>
                <w:kern w:val="0"/>
                <w:szCs w:val="21"/>
              </w:rPr>
            </w:pPr>
            <w:r>
              <w:rPr>
                <w:rFonts w:hint="eastAsia" w:ascii="Times New Roman" w:hAnsi="Times New Roman" w:eastAsia="仿宋_GB2312" w:cs="方正仿宋_GBK"/>
                <w:kern w:val="0"/>
                <w:szCs w:val="21"/>
              </w:rPr>
              <w:t>普惠性托位占比</w:t>
            </w:r>
          </w:p>
        </w:tc>
        <w:tc>
          <w:tcPr>
            <w:tcW w:w="89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16%</w:t>
            </w:r>
          </w:p>
        </w:tc>
        <w:tc>
          <w:tcPr>
            <w:tcW w:w="91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Times New Roman"/>
                <w:kern w:val="0"/>
                <w:szCs w:val="21"/>
                <w:lang w:eastAsia="zh"/>
              </w:rPr>
            </w:pPr>
            <w:r>
              <w:rPr>
                <w:rFonts w:hint="eastAsia" w:ascii="Times New Roman" w:hAnsi="Times New Roman" w:eastAsia="仿宋_GB2312" w:cs="Times New Roman"/>
                <w:kern w:val="0"/>
                <w:szCs w:val="21"/>
              </w:rPr>
              <w:t>60</w:t>
            </w:r>
            <w:r>
              <w:rPr>
                <w:rFonts w:hint="eastAsia" w:ascii="Times New Roman" w:hAnsi="Times New Roman" w:eastAsia="仿宋_GB2312" w:cs="Times New Roman"/>
                <w:kern w:val="0"/>
                <w:szCs w:val="21"/>
                <w:lang w:eastAsia="zh"/>
              </w:rPr>
              <w:t>%</w:t>
            </w:r>
          </w:p>
        </w:tc>
        <w:tc>
          <w:tcPr>
            <w:tcW w:w="970" w:type="dxa"/>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r>
              <w:rPr>
                <w:rFonts w:hint="eastAsia" w:ascii="Times New Roman" w:hAnsi="Times New Roman" w:eastAsia="仿宋_GB2312" w:cs="方正仿宋_GBK"/>
                <w:szCs w:val="21"/>
              </w:rPr>
              <w:t>预期性</w:t>
            </w:r>
          </w:p>
        </w:tc>
        <w:tc>
          <w:tcPr>
            <w:tcW w:w="1296" w:type="dxa"/>
            <w:vMerge w:val="continue"/>
            <w:shd w:val="clear" w:color="auto" w:fill="FFFFFF"/>
            <w:noWrap w:val="0"/>
            <w:tcMar>
              <w:top w:w="57" w:type="dxa"/>
              <w:left w:w="57" w:type="dxa"/>
              <w:bottom w:w="57" w:type="dxa"/>
              <w:right w:w="57" w:type="dxa"/>
            </w:tcMar>
            <w:vAlign w:val="center"/>
          </w:tcPr>
          <w:p>
            <w:pPr>
              <w:widowControl/>
              <w:spacing w:line="300" w:lineRule="exact"/>
              <w:jc w:val="center"/>
              <w:rPr>
                <w:rFonts w:hint="eastAsia" w:ascii="Times New Roman" w:hAnsi="Times New Roman" w:eastAsia="仿宋_GB2312" w:cs="方正仿宋_GBK"/>
                <w:szCs w:val="21"/>
              </w:rPr>
            </w:pPr>
          </w:p>
        </w:tc>
      </w:tr>
    </w:tbl>
    <w:p>
      <w:pPr>
        <w:widowControl/>
        <w:spacing w:before="0" w:beforeAutospacing="0" w:after="0" w:afterAutospacing="0" w:line="300" w:lineRule="exact"/>
        <w:ind w:left="0" w:right="0"/>
        <w:jc w:val="left"/>
        <w:rPr>
          <w:rFonts w:hint="eastAsia" w:ascii="Times New Roman" w:hAnsi="Times New Roman" w:eastAsia="仿宋_GB2312" w:cs="仿宋_GB2312"/>
          <w:kern w:val="2"/>
          <w:sz w:val="21"/>
          <w:szCs w:val="21"/>
          <w:lang w:val="en-US" w:eastAsia="zh-CN" w:bidi="ar"/>
        </w:rPr>
      </w:pPr>
    </w:p>
    <w:p>
      <w:pPr>
        <w:spacing w:line="560" w:lineRule="exact"/>
        <w:rPr>
          <w:rFonts w:hint="eastAsia" w:ascii="Times New Roman" w:hAnsi="Times New Roman" w:eastAsia="方正小标宋简体" w:cs="方正小标宋简体"/>
          <w:sz w:val="32"/>
          <w:szCs w:val="32"/>
        </w:rPr>
      </w:pPr>
    </w:p>
    <w:p>
      <w:pPr>
        <w:pStyle w:val="2"/>
      </w:pPr>
    </w:p>
    <w:p>
      <w:bookmarkStart w:id="0" w:name="_GoBack"/>
      <w:bookmarkEnd w:id="0"/>
    </w:p>
    <w:sectPr>
      <w:headerReference r:id="rId3" w:type="default"/>
      <w:footerReference r:id="rId4" w:type="default"/>
      <w:footerReference r:id="rId5" w:type="even"/>
      <w:pgSz w:w="11907" w:h="16840"/>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-6985</wp:posOffset>
              </wp:positionV>
              <wp:extent cx="695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5325" cy="1828800"/>
                      </a:xfrm>
                      <a:prstGeom prst="rect">
                        <a:avLst/>
                      </a:prstGeom>
                      <a:noFill/>
                      <a:ln>
                        <a:noFill/>
                      </a:ln>
                      <a:effectLst/>
                    </wps:spPr>
                    <wps:txbx>
                      <w:txbxContent>
                        <w:p>
                          <w:pPr>
                            <w:pStyle w:val="3"/>
                            <w:rPr>
                              <w:rStyle w:val="8"/>
                              <w:rFonts w:hint="eastAsia" w:ascii="仿宋_GB2312" w:eastAsia="仿宋_GB2312"/>
                              <w:sz w:val="28"/>
                              <w:szCs w:val="28"/>
                            </w:rPr>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11</w:t>
                          </w:r>
                          <w:r>
                            <w:rPr>
                              <w:rFonts w:hint="eastAsia" w:ascii="仿宋_GB2312" w:eastAsia="仿宋_GB2312"/>
                              <w:sz w:val="28"/>
                              <w:szCs w:val="28"/>
                            </w:rPr>
                            <w:fldChar w:fldCharType="end"/>
                          </w:r>
                          <w:r>
                            <w:rPr>
                              <w:rStyle w:val="8"/>
                              <w:rFonts w:hint="eastAsia" w:ascii="仿宋_GB2312" w:eastAsia="仿宋_GB2312"/>
                              <w:sz w:val="28"/>
                              <w:szCs w:val="28"/>
                            </w:rPr>
                            <w:t xml:space="preserve"> </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55pt;height:144pt;width:54.75pt;mso-position-horizontal:center;mso-position-horizontal-relative:margin;z-index:251659264;mso-width-relative:page;mso-height-relative:page;" filled="f" stroked="f" coordsize="21600,21600" o:gfxdata="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Xyv29QAAAAHAQAADwAAAAAAAAABACAAAAAi&#10;AAAAZHJzL2Rvd25yZXYueG1sUEsBAhQAFAAAAAgAh07iQJzkYyfVAQAAqAMAAA4AAAAAAAAAAQAg&#10;AAAAIwEAAGRycy9lMm9Eb2MueG1sUEsFBgAAAAAGAAYAWQEAAGoFAAAAAA==&#10;">
              <v:fill on="f" focussize="0,0"/>
              <v:stroke on="f"/>
              <v:imagedata o:title=""/>
              <o:lock v:ext="edit" aspectratio="f"/>
              <v:textbox inset="0mm,0mm,0mm,0mm" style="mso-fit-shape-to-text:t;">
                <w:txbxContent>
                  <w:p>
                    <w:pPr>
                      <w:pStyle w:val="3"/>
                      <w:rPr>
                        <w:rStyle w:val="8"/>
                        <w:rFonts w:hint="eastAsia" w:ascii="仿宋_GB2312" w:eastAsia="仿宋_GB2312"/>
                        <w:sz w:val="28"/>
                        <w:szCs w:val="28"/>
                      </w:rPr>
                    </w:pPr>
                    <w:r>
                      <w:rPr>
                        <w:rStyle w:val="8"/>
                        <w:rFonts w:hint="eastAsia" w:ascii="仿宋_GB2312" w:eastAsia="仿宋_GB2312"/>
                        <w:sz w:val="28"/>
                        <w:szCs w:val="28"/>
                      </w:rPr>
                      <w:t xml:space="preserve"> </w:t>
                    </w: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11</w:t>
                    </w:r>
                    <w:r>
                      <w:rPr>
                        <w:rFonts w:hint="eastAsia" w:ascii="仿宋_GB2312" w:eastAsia="仿宋_GB2312"/>
                        <w:sz w:val="28"/>
                        <w:szCs w:val="28"/>
                      </w:rPr>
                      <w:fldChar w:fldCharType="end"/>
                    </w:r>
                    <w:r>
                      <w:rPr>
                        <w:rStyle w:val="8"/>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YzljOGRiNWU0NWJmNzNkMDA1OTI3OGRlYmFmYTcifQ=="/>
  </w:docVars>
  <w:rsids>
    <w:rsidRoot w:val="677FAAA8"/>
    <w:rsid w:val="40362C30"/>
    <w:rsid w:val="42E001D5"/>
    <w:rsid w:val="474660E9"/>
    <w:rsid w:val="62084A2C"/>
    <w:rsid w:val="677FAAA8"/>
    <w:rsid w:val="68FF2C05"/>
    <w:rsid w:val="7373AF99"/>
    <w:rsid w:val="76F7B87E"/>
    <w:rsid w:val="C567192D"/>
    <w:rsid w:val="EBFF4705"/>
    <w:rsid w:val="EFDF1A4A"/>
    <w:rsid w:val="F7FD17FB"/>
    <w:rsid w:val="FF3B5A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395</Words>
  <Characters>468</Characters>
  <Lines>0</Lines>
  <Paragraphs>0</Paragraphs>
  <TotalTime>1</TotalTime>
  <ScaleCrop>false</ScaleCrop>
  <LinksUpToDate>false</LinksUpToDate>
  <CharactersWithSpaces>470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2022-05-17T10:39:00Z</dcterms:created>
  <dc:creator>greatwall</dc:creator>
  <cp:lastModifiedBy>pc</cp:lastModifiedBy>
  <cp:lastPrinted>2022-05-27T18:30:00Z</cp:lastPrinted>
  <dcterms:modified xsi:type="dcterms:W3CDTF">2022-06-07T07:13:38Z</dcterms:modified>
  <dc:title>自治区人民政府办公厅关于印发自治区促进养老托育服务健康发展实施方案的通知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09E760BA0A06418D9C0F87273CDD9BE8</vt:lpwstr>
  </property>
</Properties>
</file>