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宋体" w:hAnsi="宋体" w:cs="宋体"/>
          <w:sz w:val="44"/>
          <w:szCs w:val="44"/>
        </w:rPr>
      </w:pPr>
    </w:p>
    <w:p>
      <w:pPr>
        <w:jc w:val="center"/>
        <w:rPr>
          <w:rFonts w:ascii="宋体" w:hAnsi="宋体" w:cs="宋体"/>
          <w:sz w:val="44"/>
          <w:szCs w:val="44"/>
        </w:rPr>
      </w:pPr>
    </w:p>
    <w:p>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i w:val="0"/>
          <w:caps w:val="0"/>
          <w:color w:val="333333"/>
          <w:spacing w:val="0"/>
          <w:sz w:val="44"/>
          <w:szCs w:val="44"/>
          <w:shd w:val="clear" w:color="auto" w:fill="FFFFFF"/>
        </w:rPr>
      </w:pPr>
      <w:r>
        <w:rPr>
          <w:rFonts w:hint="eastAsia" w:ascii="宋体" w:hAnsi="宋体" w:eastAsia="宋体" w:cs="宋体"/>
          <w:i w:val="0"/>
          <w:caps w:val="0"/>
          <w:color w:val="333333"/>
          <w:spacing w:val="0"/>
          <w:sz w:val="44"/>
          <w:szCs w:val="44"/>
          <w:shd w:val="clear" w:color="auto" w:fill="FFFFFF"/>
        </w:rPr>
        <w:t>陕西省人民政府办公厅关于推进养老服务发展的实施意见</w:t>
      </w:r>
    </w:p>
    <w:p>
      <w:pPr>
        <w:widowControl w:val="0"/>
        <w:wordWrap/>
        <w:adjustRightInd/>
        <w:snapToGrid/>
        <w:spacing w:line="240" w:lineRule="auto"/>
        <w:ind w:left="0" w:leftChars="0" w:right="0" w:firstLine="0" w:firstLineChars="0"/>
        <w:jc w:val="center"/>
        <w:textAlignment w:val="auto"/>
        <w:outlineLvl w:val="9"/>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陕政</w:t>
      </w:r>
      <w:r>
        <w:rPr>
          <w:rFonts w:hint="eastAsia" w:ascii="楷体_GB2312" w:hAnsi="楷体_GB2312" w:eastAsia="楷体_GB2312" w:cs="楷体_GB2312"/>
          <w:color w:val="333333"/>
          <w:sz w:val="32"/>
          <w:szCs w:val="32"/>
          <w:shd w:val="clear" w:color="auto" w:fill="FFFFFF"/>
          <w:lang w:eastAsia="zh-CN"/>
        </w:rPr>
        <w:t>办</w:t>
      </w:r>
      <w:r>
        <w:rPr>
          <w:rFonts w:hint="eastAsia" w:ascii="楷体_GB2312" w:hAnsi="楷体_GB2312" w:eastAsia="楷体_GB2312" w:cs="楷体_GB2312"/>
          <w:color w:val="333333"/>
          <w:sz w:val="32"/>
          <w:szCs w:val="32"/>
          <w:shd w:val="clear" w:color="auto" w:fill="FFFFFF"/>
        </w:rPr>
        <w:t>发〔20</w:t>
      </w:r>
      <w:r>
        <w:rPr>
          <w:rFonts w:hint="eastAsia" w:ascii="楷体_GB2312" w:hAnsi="楷体_GB2312" w:eastAsia="楷体_GB2312" w:cs="楷体_GB2312"/>
          <w:color w:val="333333"/>
          <w:sz w:val="32"/>
          <w:szCs w:val="32"/>
          <w:shd w:val="clear" w:color="auto" w:fill="FFFFFF"/>
          <w:lang w:val="en-US" w:eastAsia="zh-CN"/>
        </w:rPr>
        <w:t>19</w:t>
      </w:r>
      <w:r>
        <w:rPr>
          <w:rFonts w:hint="eastAsia" w:ascii="楷体_GB2312" w:hAnsi="楷体_GB2312" w:eastAsia="楷体_GB2312" w:cs="楷体_GB2312"/>
          <w:color w:val="333333"/>
          <w:sz w:val="32"/>
          <w:szCs w:val="32"/>
          <w:shd w:val="clear" w:color="auto" w:fill="FFFFFF"/>
        </w:rPr>
        <w:t>〕</w:t>
      </w:r>
      <w:r>
        <w:rPr>
          <w:rFonts w:hint="eastAsia" w:ascii="楷体_GB2312" w:hAnsi="楷体_GB2312" w:eastAsia="楷体_GB2312" w:cs="楷体_GB2312"/>
          <w:color w:val="333333"/>
          <w:sz w:val="32"/>
          <w:szCs w:val="32"/>
          <w:shd w:val="clear" w:color="auto" w:fill="FFFFFF"/>
          <w:lang w:val="en-US" w:eastAsia="zh-CN"/>
        </w:rPr>
        <w:t>36</w:t>
      </w:r>
      <w:r>
        <w:rPr>
          <w:rFonts w:hint="eastAsia" w:ascii="楷体_GB2312" w:hAnsi="楷体_GB2312" w:eastAsia="楷体_GB2312" w:cs="楷体_GB2312"/>
          <w:color w:val="333333"/>
          <w:sz w:val="32"/>
          <w:szCs w:val="32"/>
          <w:shd w:val="clear" w:color="auto" w:fill="FFFFFF"/>
        </w:rPr>
        <w:t>号</w:t>
      </w:r>
    </w:p>
    <w:p>
      <w:pPr>
        <w:pStyle w:val="6"/>
        <w:widowControl/>
        <w:pBdr>
          <w:top w:val="none" w:color="auto" w:sz="0" w:space="0"/>
          <w:left w:val="none" w:color="auto" w:sz="0" w:space="0"/>
          <w:bottom w:val="none" w:color="auto" w:sz="0" w:space="0"/>
          <w:right w:val="none" w:color="auto" w:sz="0" w:space="0"/>
        </w:pBdr>
        <w:shd w:val="clear" w:color="auto" w:fill="FFFFFF"/>
        <w:wordWrap/>
        <w:adjustRightInd/>
        <w:snapToGrid/>
        <w:spacing w:before="225" w:beforeAutospacing="0" w:after="225" w:afterAutospacing="0" w:line="570" w:lineRule="exact"/>
        <w:ind w:right="0"/>
        <w:textAlignment w:val="auto"/>
        <w:outlineLvl w:val="9"/>
        <w:rPr>
          <w:rFonts w:hint="eastAsia" w:ascii="仿宋_GB2312" w:hAnsi="仿宋_GB2312" w:eastAsia="仿宋_GB2312" w:cs="仿宋_GB2312"/>
          <w:i w:val="0"/>
          <w:caps w:val="0"/>
          <w:color w:val="333333"/>
          <w:spacing w:val="0"/>
          <w:sz w:val="32"/>
          <w:szCs w:val="32"/>
          <w:shd w:val="clear" w:color="auto" w:fill="FFFFFF"/>
        </w:rPr>
      </w:pPr>
    </w:p>
    <w:p>
      <w:pPr>
        <w:pStyle w:val="6"/>
        <w:widowControl/>
        <w:pBdr>
          <w:top w:val="none" w:color="auto" w:sz="0" w:space="0"/>
          <w:left w:val="none" w:color="auto" w:sz="0" w:space="0"/>
          <w:bottom w:val="none" w:color="auto" w:sz="0" w:space="0"/>
          <w:right w:val="none" w:color="auto" w:sz="0" w:space="0"/>
        </w:pBdr>
        <w:shd w:val="clear" w:color="auto" w:fill="FFFFFF"/>
        <w:wordWrap/>
        <w:adjustRightInd/>
        <w:snapToGrid/>
        <w:spacing w:before="225" w:beforeAutospacing="0" w:after="225" w:afterAutospacing="0" w:line="570" w:lineRule="exact"/>
        <w:ind w:right="0"/>
        <w:textAlignment w:val="auto"/>
        <w:outlineLvl w:val="9"/>
        <w:rPr>
          <w:rFonts w:hint="eastAsia" w:ascii="仿宋_GB2312" w:hAnsi="仿宋_GB2312" w:eastAsia="仿宋_GB2312" w:cs="仿宋_GB2312"/>
          <w:i w:val="0"/>
          <w:caps w:val="0"/>
          <w:color w:val="333333"/>
          <w:spacing w:val="0"/>
          <w:sz w:val="32"/>
          <w:szCs w:val="32"/>
        </w:rPr>
      </w:pPr>
      <w:bookmarkStart w:id="1" w:name="_GoBack"/>
      <w:bookmarkEnd w:id="1"/>
      <w:r>
        <w:rPr>
          <w:rFonts w:hint="eastAsia" w:ascii="仿宋_GB2312" w:hAnsi="仿宋_GB2312" w:eastAsia="仿宋_GB2312" w:cs="仿宋_GB2312"/>
          <w:i w:val="0"/>
          <w:caps w:val="0"/>
          <w:color w:val="333333"/>
          <w:spacing w:val="0"/>
          <w:sz w:val="32"/>
          <w:szCs w:val="32"/>
          <w:shd w:val="clear" w:color="auto" w:fill="FFFFFF"/>
        </w:rPr>
        <w:t>各设区市人民政府，省人民政府各工作部门、各直属机构：</w:t>
      </w:r>
    </w:p>
    <w:p>
      <w:pPr>
        <w:pStyle w:val="6"/>
        <w:widowControl/>
        <w:pBdr>
          <w:top w:val="none" w:color="auto" w:sz="0" w:space="0"/>
          <w:left w:val="none" w:color="auto" w:sz="0" w:space="0"/>
          <w:bottom w:val="none" w:color="auto" w:sz="0" w:space="0"/>
          <w:right w:val="none" w:color="auto" w:sz="0" w:space="0"/>
        </w:pBdr>
        <w:shd w:val="clear" w:color="auto" w:fill="FFFFFF"/>
        <w:wordWrap/>
        <w:adjustRightInd/>
        <w:snapToGrid/>
        <w:spacing w:before="225" w:beforeAutospacing="0" w:after="225" w:afterAutospacing="0" w:line="570" w:lineRule="exact"/>
        <w:ind w:left="0" w:leftChars="0" w:right="0" w:firstLine="640" w:firstLineChars="200"/>
        <w:textAlignment w:val="auto"/>
        <w:outlineLvl w:val="9"/>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rPr>
        <w:t>为深入贯彻落实党的十九届四中全会和《国务院办公厅关于推进养老服务发展的意见》（国办发〔2019〕5号）精神，加强普惠性、基础性、兜底性民生建设，加快养老服务高质量发展，满足老年人多层次多样化养老服务需求，经省政府同意，现提出以下实施意见。</w:t>
      </w:r>
    </w:p>
    <w:p>
      <w:pPr>
        <w:pStyle w:val="6"/>
        <w:widowControl/>
        <w:pBdr>
          <w:top w:val="none" w:color="auto" w:sz="0" w:space="0"/>
          <w:left w:val="none" w:color="auto" w:sz="0" w:space="0"/>
          <w:bottom w:val="none" w:color="auto" w:sz="0" w:space="0"/>
          <w:right w:val="none" w:color="auto" w:sz="0" w:space="0"/>
        </w:pBdr>
        <w:shd w:val="clear" w:color="auto" w:fill="FFFFFF"/>
        <w:wordWrap/>
        <w:adjustRightInd/>
        <w:snapToGrid/>
        <w:spacing w:before="225" w:beforeAutospacing="0" w:after="225" w:afterAutospacing="0" w:line="570" w:lineRule="exact"/>
        <w:ind w:left="0" w:leftChars="0" w:right="0" w:firstLine="640" w:firstLineChars="200"/>
        <w:textAlignment w:val="auto"/>
        <w:outlineLvl w:val="9"/>
        <w:rPr>
          <w:rFonts w:hint="eastAsia" w:ascii="黑体" w:hAnsi="黑体" w:eastAsia="黑体" w:cs="黑体"/>
          <w:b/>
          <w:bCs/>
          <w:i w:val="0"/>
          <w:caps w:val="0"/>
          <w:color w:val="333333"/>
          <w:spacing w:val="0"/>
          <w:sz w:val="32"/>
          <w:szCs w:val="32"/>
          <w:shd w:val="clear" w:color="auto" w:fill="FFFFFF"/>
        </w:rPr>
      </w:pPr>
      <w:r>
        <w:rPr>
          <w:rFonts w:hint="eastAsia" w:ascii="黑体" w:hAnsi="黑体" w:eastAsia="黑体" w:cs="黑体"/>
          <w:b/>
          <w:bCs/>
          <w:i w:val="0"/>
          <w:caps w:val="0"/>
          <w:color w:val="333333"/>
          <w:spacing w:val="0"/>
          <w:sz w:val="32"/>
          <w:szCs w:val="32"/>
          <w:shd w:val="clear" w:color="auto" w:fill="FFFFFF"/>
        </w:rPr>
        <w:t>一、健全完善养老服务体系</w:t>
      </w:r>
    </w:p>
    <w:p>
      <w:pPr>
        <w:pStyle w:val="6"/>
        <w:widowControl/>
        <w:pBdr>
          <w:top w:val="none" w:color="auto" w:sz="0" w:space="0"/>
          <w:left w:val="none" w:color="auto" w:sz="0" w:space="0"/>
          <w:bottom w:val="none" w:color="auto" w:sz="0" w:space="0"/>
          <w:right w:val="none" w:color="auto" w:sz="0" w:space="0"/>
        </w:pBdr>
        <w:shd w:val="clear" w:color="auto" w:fill="FFFFFF"/>
        <w:wordWrap/>
        <w:adjustRightInd/>
        <w:snapToGrid/>
        <w:spacing w:before="225" w:beforeAutospacing="0" w:after="225" w:afterAutospacing="0" w:line="570" w:lineRule="exact"/>
        <w:ind w:left="0" w:leftChars="0" w:right="0" w:firstLine="640" w:firstLineChars="200"/>
        <w:textAlignment w:val="auto"/>
        <w:outlineLvl w:val="9"/>
        <w:rPr>
          <w:rFonts w:hint="eastAsia" w:ascii="楷体_GB2312" w:hAnsi="楷体_GB2312" w:eastAsia="楷体_GB2312" w:cs="楷体_GB2312"/>
          <w:b/>
          <w:bCs/>
          <w:i w:val="0"/>
          <w:caps w:val="0"/>
          <w:color w:val="333333"/>
          <w:spacing w:val="0"/>
          <w:sz w:val="32"/>
          <w:szCs w:val="32"/>
          <w:shd w:val="clear" w:color="auto" w:fill="FFFFFF"/>
        </w:rPr>
      </w:pPr>
      <w:r>
        <w:rPr>
          <w:rFonts w:hint="eastAsia" w:ascii="楷体_GB2312" w:hAnsi="楷体_GB2312" w:eastAsia="楷体_GB2312" w:cs="楷体_GB2312"/>
          <w:b/>
          <w:bCs/>
          <w:i w:val="0"/>
          <w:caps w:val="0"/>
          <w:color w:val="333333"/>
          <w:spacing w:val="0"/>
          <w:sz w:val="32"/>
          <w:szCs w:val="32"/>
          <w:shd w:val="clear" w:color="auto" w:fill="FFFFFF"/>
        </w:rPr>
        <w:t>（一）推动养老服务融合发展。</w:t>
      </w:r>
      <w:r>
        <w:rPr>
          <w:rFonts w:hint="eastAsia" w:ascii="仿宋_GB2312" w:hAnsi="仿宋_GB2312" w:eastAsia="仿宋_GB2312" w:cs="仿宋_GB2312"/>
          <w:i w:val="0"/>
          <w:caps w:val="0"/>
          <w:color w:val="333333"/>
          <w:spacing w:val="0"/>
          <w:sz w:val="32"/>
          <w:szCs w:val="32"/>
          <w:shd w:val="clear" w:color="auto" w:fill="FFFFFF"/>
        </w:rPr>
        <w:t>加快建设居家社区机构相协调、医养康养相结合的养老服务体系，打造以社区为平台、养老服务类社会组织为载体、社会工作者和社区志愿者为支撑的“四社联动”养老服务机制。重点发展居家社区养老服务，倡导依法履行赡养义务和承担照料责任。支持养老机构运营社区养老服务设施。探索“物业服务+养老服务”模式。推广“时间银行”做法，开展互助养老服务。到2020年每个社区至少培育发展1个养老服务社会示范组织和1支志愿者队伍。</w:t>
      </w:r>
      <w:r>
        <w:rPr>
          <w:rFonts w:hint="eastAsia" w:ascii="楷体_GB2312" w:hAnsi="楷体_GB2312" w:eastAsia="楷体_GB2312" w:cs="楷体_GB2312"/>
          <w:b/>
          <w:bCs/>
          <w:i w:val="0"/>
          <w:caps w:val="0"/>
          <w:color w:val="333333"/>
          <w:spacing w:val="0"/>
          <w:sz w:val="32"/>
          <w:szCs w:val="32"/>
          <w:shd w:val="clear" w:color="auto" w:fill="FFFFFF"/>
        </w:rPr>
        <w:t>（省民政厅、省发展改革委、省财政厅、省卫生健康委、省住房城乡建设厅、团省委、各设区市政府按职责分工负责）</w:t>
      </w:r>
    </w:p>
    <w:p>
      <w:pPr>
        <w:pStyle w:val="6"/>
        <w:widowControl/>
        <w:pBdr>
          <w:top w:val="none" w:color="auto" w:sz="0" w:space="0"/>
          <w:left w:val="none" w:color="auto" w:sz="0" w:space="0"/>
          <w:bottom w:val="none" w:color="auto" w:sz="0" w:space="0"/>
          <w:right w:val="none" w:color="auto" w:sz="0" w:space="0"/>
        </w:pBdr>
        <w:shd w:val="clear" w:color="auto" w:fill="FFFFFF"/>
        <w:wordWrap/>
        <w:adjustRightInd/>
        <w:snapToGrid/>
        <w:spacing w:before="225" w:beforeAutospacing="0" w:after="225" w:afterAutospacing="0" w:line="570" w:lineRule="exact"/>
        <w:ind w:left="0" w:leftChars="0" w:right="0" w:firstLine="640" w:firstLineChars="200"/>
        <w:textAlignment w:val="auto"/>
        <w:outlineLvl w:val="9"/>
        <w:rPr>
          <w:rFonts w:hint="eastAsia" w:ascii="楷体_GB2312" w:hAnsi="楷体_GB2312" w:eastAsia="楷体_GB2312" w:cs="楷体_GB2312"/>
          <w:b/>
          <w:bCs/>
          <w:i w:val="0"/>
          <w:caps w:val="0"/>
          <w:color w:val="333333"/>
          <w:spacing w:val="0"/>
          <w:sz w:val="32"/>
          <w:szCs w:val="32"/>
          <w:shd w:val="clear" w:color="auto" w:fill="FFFFFF"/>
        </w:rPr>
      </w:pPr>
      <w:r>
        <w:rPr>
          <w:rFonts w:hint="eastAsia" w:ascii="楷体_GB2312" w:hAnsi="楷体_GB2312" w:eastAsia="楷体_GB2312" w:cs="楷体_GB2312"/>
          <w:b/>
          <w:bCs/>
          <w:i w:val="0"/>
          <w:caps w:val="0"/>
          <w:color w:val="333333"/>
          <w:spacing w:val="0"/>
          <w:sz w:val="32"/>
          <w:szCs w:val="32"/>
          <w:shd w:val="clear" w:color="auto" w:fill="FFFFFF"/>
        </w:rPr>
        <w:t>（二）推动“15分钟养老服务圈”建设。</w:t>
      </w:r>
      <w:r>
        <w:rPr>
          <w:rFonts w:hint="eastAsia" w:ascii="仿宋_GB2312" w:hAnsi="仿宋_GB2312" w:eastAsia="仿宋_GB2312" w:cs="仿宋_GB2312"/>
          <w:i w:val="0"/>
          <w:caps w:val="0"/>
          <w:color w:val="333333"/>
          <w:spacing w:val="0"/>
          <w:sz w:val="32"/>
          <w:szCs w:val="32"/>
          <w:shd w:val="clear" w:color="auto" w:fill="FFFFFF"/>
        </w:rPr>
        <w:t>支持在城市街道建设一院（社区小型养老院）、在社区建设一中心（社区老年人日间照料中心）、在居民小区建设一站（养老服务站点）的嵌入式养老服务网络，打造15分钟养老服务圈。到 2022年，力争所有街道至少建有一个具备综合功能的社区养老服务机构，社区老年人日间照料机构覆盖率达到90%以上。</w:t>
      </w:r>
      <w:r>
        <w:rPr>
          <w:rFonts w:hint="eastAsia" w:ascii="楷体_GB2312" w:hAnsi="楷体_GB2312" w:eastAsia="楷体_GB2312" w:cs="楷体_GB2312"/>
          <w:b/>
          <w:bCs/>
          <w:i w:val="0"/>
          <w:caps w:val="0"/>
          <w:color w:val="333333"/>
          <w:spacing w:val="0"/>
          <w:sz w:val="32"/>
          <w:szCs w:val="32"/>
          <w:shd w:val="clear" w:color="auto" w:fill="FFFFFF"/>
        </w:rPr>
        <w:t>（省民政厅、省自然资源厅、省住房城乡建设厅、省发展改革委、省财政厅、各设区市政府按职责分工负责）</w:t>
      </w:r>
    </w:p>
    <w:p>
      <w:pPr>
        <w:pStyle w:val="6"/>
        <w:widowControl/>
        <w:pBdr>
          <w:top w:val="none" w:color="auto" w:sz="0" w:space="0"/>
          <w:left w:val="none" w:color="auto" w:sz="0" w:space="0"/>
          <w:bottom w:val="none" w:color="auto" w:sz="0" w:space="0"/>
          <w:right w:val="none" w:color="auto" w:sz="0" w:space="0"/>
        </w:pBdr>
        <w:shd w:val="clear" w:color="auto" w:fill="FFFFFF"/>
        <w:wordWrap/>
        <w:adjustRightInd/>
        <w:snapToGrid/>
        <w:spacing w:before="225" w:beforeAutospacing="0" w:after="225" w:afterAutospacing="0" w:line="570" w:lineRule="exact"/>
        <w:ind w:left="0" w:leftChars="0" w:right="0" w:firstLine="640" w:firstLineChars="200"/>
        <w:textAlignment w:val="auto"/>
        <w:outlineLvl w:val="9"/>
        <w:rPr>
          <w:rFonts w:hint="eastAsia" w:ascii="楷体_GB2312" w:hAnsi="楷体_GB2312" w:eastAsia="楷体_GB2312" w:cs="楷体_GB2312"/>
          <w:b/>
          <w:bCs/>
          <w:i w:val="0"/>
          <w:caps w:val="0"/>
          <w:color w:val="333333"/>
          <w:spacing w:val="0"/>
          <w:sz w:val="32"/>
          <w:szCs w:val="32"/>
          <w:shd w:val="clear" w:color="auto" w:fill="FFFFFF"/>
        </w:rPr>
      </w:pPr>
      <w:r>
        <w:rPr>
          <w:rFonts w:hint="eastAsia" w:ascii="楷体_GB2312" w:hAnsi="楷体_GB2312" w:eastAsia="楷体_GB2312" w:cs="楷体_GB2312"/>
          <w:b/>
          <w:bCs/>
          <w:i w:val="0"/>
          <w:caps w:val="0"/>
          <w:color w:val="333333"/>
          <w:spacing w:val="0"/>
          <w:sz w:val="32"/>
          <w:szCs w:val="32"/>
          <w:shd w:val="clear" w:color="auto" w:fill="FFFFFF"/>
        </w:rPr>
        <w:t>（三）加强农村养老服务。</w:t>
      </w:r>
      <w:r>
        <w:rPr>
          <w:rFonts w:hint="eastAsia" w:ascii="仿宋_GB2312" w:hAnsi="仿宋_GB2312" w:eastAsia="仿宋_GB2312" w:cs="仿宋_GB2312"/>
          <w:i w:val="0"/>
          <w:caps w:val="0"/>
          <w:color w:val="333333"/>
          <w:spacing w:val="0"/>
          <w:sz w:val="32"/>
          <w:szCs w:val="32"/>
          <w:shd w:val="clear" w:color="auto" w:fill="FFFFFF"/>
        </w:rPr>
        <w:t>健全完善以农村综合性养老服务中心、互助幸福院等为网点的农村养老服务网络。发挥农村基层党组织、村委会、老年协会等作用，积极培育为老服务社会组织，依托农村互助幸福院、社区综合服务中心（站）、村卫生室等，为老年人提供托养、文化娱乐、康复护理等养老服务。鼓励有条件的地区推进农村综合性养老服务中心建设，开展社会化养老服务。引导农村集体经济、土地流转等收益分配用于解决本村老年人养老问题。</w:t>
      </w:r>
      <w:r>
        <w:rPr>
          <w:rFonts w:hint="eastAsia" w:ascii="楷体_GB2312" w:hAnsi="楷体_GB2312" w:eastAsia="楷体_GB2312" w:cs="楷体_GB2312"/>
          <w:b/>
          <w:bCs/>
          <w:i w:val="0"/>
          <w:caps w:val="0"/>
          <w:color w:val="333333"/>
          <w:spacing w:val="0"/>
          <w:sz w:val="32"/>
          <w:szCs w:val="32"/>
          <w:shd w:val="clear" w:color="auto" w:fill="FFFFFF"/>
        </w:rPr>
        <w:t>（省民政厅、省发展改革委、省卫生健康委、省财政厅、各设区市政府按职责分工负责）</w:t>
      </w:r>
    </w:p>
    <w:p>
      <w:pPr>
        <w:pStyle w:val="6"/>
        <w:widowControl/>
        <w:pBdr>
          <w:top w:val="none" w:color="auto" w:sz="0" w:space="0"/>
          <w:left w:val="none" w:color="auto" w:sz="0" w:space="0"/>
          <w:bottom w:val="none" w:color="auto" w:sz="0" w:space="0"/>
          <w:right w:val="none" w:color="auto" w:sz="0" w:space="0"/>
        </w:pBdr>
        <w:shd w:val="clear" w:color="auto" w:fill="FFFFFF"/>
        <w:wordWrap/>
        <w:adjustRightInd/>
        <w:snapToGrid/>
        <w:spacing w:before="225" w:beforeAutospacing="0" w:after="225" w:afterAutospacing="0" w:line="570" w:lineRule="exact"/>
        <w:ind w:left="0" w:leftChars="0" w:right="0" w:firstLine="640" w:firstLineChars="200"/>
        <w:textAlignment w:val="auto"/>
        <w:outlineLvl w:val="9"/>
        <w:rPr>
          <w:rFonts w:hint="eastAsia" w:ascii="楷体_GB2312" w:hAnsi="楷体_GB2312" w:eastAsia="楷体_GB2312" w:cs="楷体_GB2312"/>
          <w:b w:val="0"/>
          <w:bCs w:val="0"/>
          <w:i w:val="0"/>
          <w:caps w:val="0"/>
          <w:color w:val="333333"/>
          <w:spacing w:val="0"/>
          <w:sz w:val="32"/>
          <w:szCs w:val="32"/>
          <w:shd w:val="clear" w:color="auto" w:fill="FFFFFF"/>
        </w:rPr>
      </w:pPr>
      <w:r>
        <w:rPr>
          <w:rFonts w:hint="eastAsia" w:ascii="楷体_GB2312" w:hAnsi="楷体_GB2312" w:eastAsia="楷体_GB2312" w:cs="楷体_GB2312"/>
          <w:b/>
          <w:bCs/>
          <w:i w:val="0"/>
          <w:caps w:val="0"/>
          <w:color w:val="333333"/>
          <w:spacing w:val="0"/>
          <w:sz w:val="32"/>
          <w:szCs w:val="32"/>
          <w:shd w:val="clear" w:color="auto" w:fill="FFFFFF"/>
        </w:rPr>
        <w:t>（四）加强医养结合。</w:t>
      </w:r>
      <w:r>
        <w:rPr>
          <w:rFonts w:hint="eastAsia" w:ascii="仿宋_GB2312" w:hAnsi="仿宋_GB2312" w:eastAsia="仿宋_GB2312" w:cs="仿宋_GB2312"/>
          <w:i w:val="0"/>
          <w:caps w:val="0"/>
          <w:color w:val="333333"/>
          <w:spacing w:val="0"/>
          <w:sz w:val="32"/>
          <w:szCs w:val="32"/>
          <w:shd w:val="clear" w:color="auto" w:fill="FFFFFF"/>
        </w:rPr>
        <w:t>支持社会力量兴办医养结合机构，按规定及时将符合条件的医养结合机构纳入医保协议管理。制定家庭医生签约服务标准和管理办法，为老年人提供连续性的健康管理和医疗服务。鼓励医护人员到医养结合机构执业并享受职称评定等同等待遇。针对高龄及失能失智老年人照护服务需求，重点培育服务高龄及失能失智老年人的养老机构。到2022年全省养老机构护理型养老床位占比不低于50%。</w:t>
      </w:r>
      <w:r>
        <w:rPr>
          <w:rFonts w:hint="eastAsia" w:ascii="楷体_GB2312" w:hAnsi="楷体_GB2312" w:eastAsia="楷体_GB2312" w:cs="楷体_GB2312"/>
          <w:b/>
          <w:bCs/>
          <w:i w:val="0"/>
          <w:caps w:val="0"/>
          <w:color w:val="333333"/>
          <w:spacing w:val="0"/>
          <w:sz w:val="32"/>
          <w:szCs w:val="32"/>
          <w:shd w:val="clear" w:color="auto" w:fill="FFFFFF"/>
        </w:rPr>
        <w:t>（省卫生健康委、省民政厅、省医保局、各设区市政府按职责分工负责）</w:t>
      </w:r>
    </w:p>
    <w:p>
      <w:pPr>
        <w:pStyle w:val="6"/>
        <w:widowControl/>
        <w:pBdr>
          <w:top w:val="none" w:color="auto" w:sz="0" w:space="0"/>
          <w:left w:val="none" w:color="auto" w:sz="0" w:space="0"/>
          <w:bottom w:val="none" w:color="auto" w:sz="0" w:space="0"/>
          <w:right w:val="none" w:color="auto" w:sz="0" w:space="0"/>
        </w:pBdr>
        <w:shd w:val="clear" w:color="auto" w:fill="FFFFFF"/>
        <w:wordWrap/>
        <w:adjustRightInd/>
        <w:snapToGrid/>
        <w:spacing w:before="225" w:beforeAutospacing="0" w:after="225" w:afterAutospacing="0" w:line="570" w:lineRule="exact"/>
        <w:ind w:left="0" w:leftChars="0" w:right="0" w:firstLine="640" w:firstLineChars="200"/>
        <w:textAlignment w:val="auto"/>
        <w:outlineLvl w:val="9"/>
        <w:rPr>
          <w:rFonts w:hint="eastAsia" w:ascii="黑体" w:hAnsi="黑体" w:eastAsia="黑体" w:cs="黑体"/>
          <w:b/>
          <w:bCs/>
          <w:i w:val="0"/>
          <w:caps w:val="0"/>
          <w:color w:val="333333"/>
          <w:spacing w:val="0"/>
          <w:sz w:val="32"/>
          <w:szCs w:val="32"/>
          <w:shd w:val="clear" w:color="auto" w:fill="FFFFFF"/>
        </w:rPr>
      </w:pPr>
      <w:r>
        <w:rPr>
          <w:rFonts w:hint="eastAsia" w:ascii="黑体" w:hAnsi="黑体" w:eastAsia="黑体" w:cs="黑体"/>
          <w:b/>
          <w:bCs/>
          <w:i w:val="0"/>
          <w:caps w:val="0"/>
          <w:color w:val="333333"/>
          <w:spacing w:val="0"/>
          <w:sz w:val="32"/>
          <w:szCs w:val="32"/>
          <w:shd w:val="clear" w:color="auto" w:fill="FFFFFF"/>
        </w:rPr>
        <w:t>二、促进养老服务高质量发展</w:t>
      </w:r>
    </w:p>
    <w:p>
      <w:pPr>
        <w:pStyle w:val="6"/>
        <w:widowControl/>
        <w:pBdr>
          <w:top w:val="none" w:color="auto" w:sz="0" w:space="0"/>
          <w:left w:val="none" w:color="auto" w:sz="0" w:space="0"/>
          <w:bottom w:val="none" w:color="auto" w:sz="0" w:space="0"/>
          <w:right w:val="none" w:color="auto" w:sz="0" w:space="0"/>
        </w:pBdr>
        <w:shd w:val="clear" w:color="auto" w:fill="FFFFFF"/>
        <w:wordWrap/>
        <w:adjustRightInd/>
        <w:snapToGrid/>
        <w:spacing w:before="225" w:beforeAutospacing="0" w:after="225" w:afterAutospacing="0" w:line="570" w:lineRule="exact"/>
        <w:ind w:left="0" w:leftChars="0" w:right="0" w:firstLine="640" w:firstLineChars="200"/>
        <w:textAlignment w:val="auto"/>
        <w:outlineLvl w:val="9"/>
        <w:rPr>
          <w:rFonts w:hint="eastAsia" w:ascii="楷体_GB2312" w:hAnsi="楷体_GB2312" w:eastAsia="楷体_GB2312" w:cs="楷体_GB2312"/>
          <w:b/>
          <w:bCs/>
          <w:i w:val="0"/>
          <w:caps w:val="0"/>
          <w:color w:val="333333"/>
          <w:spacing w:val="0"/>
          <w:sz w:val="32"/>
          <w:szCs w:val="32"/>
          <w:shd w:val="clear" w:color="auto" w:fill="FFFFFF"/>
        </w:rPr>
      </w:pPr>
      <w:r>
        <w:rPr>
          <w:rFonts w:hint="eastAsia" w:ascii="楷体_GB2312" w:hAnsi="楷体_GB2312" w:eastAsia="楷体_GB2312" w:cs="楷体_GB2312"/>
          <w:b/>
          <w:bCs/>
          <w:i w:val="0"/>
          <w:caps w:val="0"/>
          <w:color w:val="333333"/>
          <w:spacing w:val="0"/>
          <w:sz w:val="32"/>
          <w:szCs w:val="32"/>
          <w:shd w:val="clear" w:color="auto" w:fill="FFFFFF"/>
        </w:rPr>
        <w:t>（五）提升养老院服务质量。</w:t>
      </w:r>
      <w:r>
        <w:rPr>
          <w:rFonts w:hint="eastAsia" w:ascii="仿宋_GB2312" w:hAnsi="仿宋_GB2312" w:eastAsia="仿宋_GB2312" w:cs="仿宋_GB2312"/>
          <w:i w:val="0"/>
          <w:caps w:val="0"/>
          <w:color w:val="333333"/>
          <w:spacing w:val="0"/>
          <w:sz w:val="32"/>
          <w:szCs w:val="32"/>
          <w:shd w:val="clear" w:color="auto" w:fill="FFFFFF"/>
        </w:rPr>
        <w:t>全面推进《养老机构服务质量基本规范》国家标准达标工作，督导不达标养老机构全面整治质量隐患。实行养老服务标准化，开展养老机构星级评定，提升养老服务水平。</w:t>
      </w:r>
      <w:r>
        <w:rPr>
          <w:rFonts w:hint="eastAsia" w:ascii="楷体_GB2312" w:hAnsi="楷体_GB2312" w:eastAsia="楷体_GB2312" w:cs="楷体_GB2312"/>
          <w:b/>
          <w:bCs/>
          <w:i w:val="0"/>
          <w:caps w:val="0"/>
          <w:color w:val="333333"/>
          <w:spacing w:val="0"/>
          <w:sz w:val="32"/>
          <w:szCs w:val="32"/>
          <w:shd w:val="clear" w:color="auto" w:fill="FFFFFF"/>
        </w:rPr>
        <w:t>（省民政厅、省卫生健康委、省市场监管局、省应急厅、各设区市政府按职责分工负责）</w:t>
      </w:r>
    </w:p>
    <w:p>
      <w:pPr>
        <w:pStyle w:val="6"/>
        <w:widowControl/>
        <w:pBdr>
          <w:top w:val="none" w:color="auto" w:sz="0" w:space="0"/>
          <w:left w:val="none" w:color="auto" w:sz="0" w:space="0"/>
          <w:bottom w:val="none" w:color="auto" w:sz="0" w:space="0"/>
          <w:right w:val="none" w:color="auto" w:sz="0" w:space="0"/>
        </w:pBdr>
        <w:shd w:val="clear" w:color="auto" w:fill="FFFFFF"/>
        <w:wordWrap/>
        <w:adjustRightInd/>
        <w:snapToGrid/>
        <w:spacing w:before="225" w:beforeAutospacing="0" w:after="225" w:afterAutospacing="0" w:line="570" w:lineRule="exact"/>
        <w:ind w:left="0" w:leftChars="0" w:right="0" w:firstLine="640" w:firstLineChars="200"/>
        <w:textAlignment w:val="auto"/>
        <w:outlineLvl w:val="9"/>
        <w:rPr>
          <w:rFonts w:hint="eastAsia" w:ascii="楷体_GB2312" w:hAnsi="楷体_GB2312" w:eastAsia="楷体_GB2312" w:cs="楷体_GB2312"/>
          <w:b/>
          <w:bCs/>
          <w:i w:val="0"/>
          <w:caps w:val="0"/>
          <w:color w:val="333333"/>
          <w:spacing w:val="0"/>
          <w:sz w:val="32"/>
          <w:szCs w:val="32"/>
          <w:shd w:val="clear" w:color="auto" w:fill="FFFFFF"/>
        </w:rPr>
      </w:pPr>
      <w:r>
        <w:rPr>
          <w:rFonts w:hint="eastAsia" w:ascii="楷体_GB2312" w:hAnsi="楷体_GB2312" w:eastAsia="楷体_GB2312" w:cs="楷体_GB2312"/>
          <w:b/>
          <w:bCs/>
          <w:i w:val="0"/>
          <w:caps w:val="0"/>
          <w:color w:val="333333"/>
          <w:spacing w:val="0"/>
          <w:sz w:val="32"/>
          <w:szCs w:val="32"/>
          <w:shd w:val="clear" w:color="auto" w:fill="FFFFFF"/>
        </w:rPr>
        <w:t>（六）发展智慧养老。</w:t>
      </w:r>
      <w:r>
        <w:rPr>
          <w:rFonts w:hint="eastAsia" w:ascii="仿宋_GB2312" w:hAnsi="仿宋_GB2312" w:eastAsia="仿宋_GB2312" w:cs="仿宋_GB2312"/>
          <w:i w:val="0"/>
          <w:caps w:val="0"/>
          <w:color w:val="333333"/>
          <w:spacing w:val="0"/>
          <w:sz w:val="32"/>
          <w:szCs w:val="32"/>
          <w:shd w:val="clear" w:color="auto" w:fill="FFFFFF"/>
        </w:rPr>
        <w:t>推动智慧健康养老产业发展,加快信息技术、智能硬件等产品在养老服务领域的推广应用。推进“互联网+”养老服务，推动养老、保健、医疗服务一体化发展。建设一批“智慧养老院”，推广物联网和远程智能安防监控技术，降低老年人意外风险。建设全省养老服务管理信息系统，实现养老服务资源与养老需求的有效对接。</w:t>
      </w:r>
      <w:r>
        <w:rPr>
          <w:rFonts w:hint="eastAsia" w:ascii="楷体_GB2312" w:hAnsi="楷体_GB2312" w:eastAsia="楷体_GB2312" w:cs="楷体_GB2312"/>
          <w:b/>
          <w:bCs/>
          <w:i w:val="0"/>
          <w:caps w:val="0"/>
          <w:color w:val="333333"/>
          <w:spacing w:val="0"/>
          <w:sz w:val="32"/>
          <w:szCs w:val="32"/>
          <w:shd w:val="clear" w:color="auto" w:fill="FFFFFF"/>
        </w:rPr>
        <w:t>（省工业和信息化厅、省民政厅、省卫生健康委、各设区市政府按职责分工负责）</w:t>
      </w:r>
    </w:p>
    <w:p>
      <w:pPr>
        <w:pStyle w:val="6"/>
        <w:widowControl/>
        <w:pBdr>
          <w:top w:val="none" w:color="auto" w:sz="0" w:space="0"/>
          <w:left w:val="none" w:color="auto" w:sz="0" w:space="0"/>
          <w:bottom w:val="none" w:color="auto" w:sz="0" w:space="0"/>
          <w:right w:val="none" w:color="auto" w:sz="0" w:space="0"/>
        </w:pBdr>
        <w:shd w:val="clear" w:color="auto" w:fill="FFFFFF"/>
        <w:wordWrap/>
        <w:adjustRightInd/>
        <w:snapToGrid/>
        <w:spacing w:before="225" w:beforeAutospacing="0" w:after="225" w:afterAutospacing="0" w:line="570" w:lineRule="exact"/>
        <w:ind w:left="0" w:leftChars="0" w:right="0" w:firstLine="640" w:firstLineChars="200"/>
        <w:textAlignment w:val="auto"/>
        <w:outlineLvl w:val="9"/>
        <w:rPr>
          <w:rFonts w:hint="eastAsia" w:ascii="楷体_GB2312" w:hAnsi="楷体_GB2312" w:eastAsia="楷体_GB2312" w:cs="楷体_GB2312"/>
          <w:b/>
          <w:bCs/>
          <w:i w:val="0"/>
          <w:caps w:val="0"/>
          <w:color w:val="333333"/>
          <w:spacing w:val="0"/>
          <w:sz w:val="32"/>
          <w:szCs w:val="32"/>
          <w:shd w:val="clear" w:color="auto" w:fill="FFFFFF"/>
        </w:rPr>
      </w:pPr>
      <w:r>
        <w:rPr>
          <w:rFonts w:hint="eastAsia" w:ascii="楷体_GB2312" w:hAnsi="楷体_GB2312" w:eastAsia="楷体_GB2312" w:cs="楷体_GB2312"/>
          <w:b/>
          <w:bCs/>
          <w:i w:val="0"/>
          <w:caps w:val="0"/>
          <w:color w:val="333333"/>
          <w:spacing w:val="0"/>
          <w:sz w:val="32"/>
          <w:szCs w:val="32"/>
          <w:shd w:val="clear" w:color="auto" w:fill="FFFFFF"/>
        </w:rPr>
        <w:t>(七)建立健全长期照护服务。</w:t>
      </w:r>
      <w:r>
        <w:rPr>
          <w:rFonts w:hint="eastAsia" w:ascii="仿宋_GB2312" w:hAnsi="仿宋_GB2312" w:eastAsia="仿宋_GB2312" w:cs="仿宋_GB2312"/>
          <w:i w:val="0"/>
          <w:caps w:val="0"/>
          <w:color w:val="333333"/>
          <w:spacing w:val="0"/>
          <w:sz w:val="32"/>
          <w:szCs w:val="32"/>
          <w:shd w:val="clear" w:color="auto" w:fill="FFFFFF"/>
        </w:rPr>
        <w:t>加大长期照护服务供给，稳妥推进长期护理保险制度试点。鼓励发展商业性长期护理保险产品，为参保人提供个性化长期照护服务。全面建立经济困难高龄、失能老年人补贴制度，加强与残疾人两项补贴政策衔接。通过政府购买服务等方式，开展老年人能力综合评估，评估结果作为接受基本养老服务的依据。</w:t>
      </w:r>
      <w:r>
        <w:rPr>
          <w:rFonts w:hint="eastAsia" w:ascii="楷体_GB2312" w:hAnsi="楷体_GB2312" w:eastAsia="楷体_GB2312" w:cs="楷体_GB2312"/>
          <w:b/>
          <w:bCs/>
          <w:i w:val="0"/>
          <w:caps w:val="0"/>
          <w:color w:val="333333"/>
          <w:spacing w:val="0"/>
          <w:sz w:val="32"/>
          <w:szCs w:val="32"/>
          <w:shd w:val="clear" w:color="auto" w:fill="FFFFFF"/>
        </w:rPr>
        <w:t>(省医保局、省民政厅、省财政厅、省卫生健康委、省市场监管局、陕西银保监局、省残联、各设区市政府按职责分工负责)</w:t>
      </w:r>
    </w:p>
    <w:p>
      <w:pPr>
        <w:pStyle w:val="6"/>
        <w:widowControl/>
        <w:pBdr>
          <w:top w:val="none" w:color="auto" w:sz="0" w:space="0"/>
          <w:left w:val="none" w:color="auto" w:sz="0" w:space="0"/>
          <w:bottom w:val="none" w:color="auto" w:sz="0" w:space="0"/>
          <w:right w:val="none" w:color="auto" w:sz="0" w:space="0"/>
        </w:pBdr>
        <w:shd w:val="clear" w:color="auto" w:fill="FFFFFF"/>
        <w:wordWrap/>
        <w:adjustRightInd/>
        <w:snapToGrid/>
        <w:spacing w:before="225" w:beforeAutospacing="0" w:after="225" w:afterAutospacing="0" w:line="570" w:lineRule="exact"/>
        <w:ind w:left="0" w:leftChars="0" w:right="0" w:firstLine="640" w:firstLineChars="200"/>
        <w:textAlignment w:val="auto"/>
        <w:outlineLvl w:val="9"/>
        <w:rPr>
          <w:rFonts w:hint="eastAsia" w:ascii="楷体_GB2312" w:hAnsi="楷体_GB2312" w:eastAsia="楷体_GB2312" w:cs="楷体_GB2312"/>
          <w:b/>
          <w:bCs/>
          <w:i w:val="0"/>
          <w:caps w:val="0"/>
          <w:color w:val="333333"/>
          <w:spacing w:val="0"/>
          <w:sz w:val="32"/>
          <w:szCs w:val="32"/>
          <w:shd w:val="clear" w:color="auto" w:fill="FFFFFF"/>
        </w:rPr>
      </w:pPr>
      <w:r>
        <w:rPr>
          <w:rFonts w:hint="eastAsia" w:ascii="楷体_GB2312" w:hAnsi="楷体_GB2312" w:eastAsia="楷体_GB2312" w:cs="楷体_GB2312"/>
          <w:b/>
          <w:bCs/>
          <w:i w:val="0"/>
          <w:caps w:val="0"/>
          <w:color w:val="333333"/>
          <w:spacing w:val="0"/>
          <w:sz w:val="32"/>
          <w:szCs w:val="32"/>
          <w:shd w:val="clear" w:color="auto" w:fill="FFFFFF"/>
        </w:rPr>
        <w:t>（八）加强老年人关爱服务。</w:t>
      </w:r>
      <w:r>
        <w:rPr>
          <w:rFonts w:hint="eastAsia" w:ascii="仿宋_GB2312" w:hAnsi="仿宋_GB2312" w:eastAsia="仿宋_GB2312" w:cs="仿宋_GB2312"/>
          <w:i w:val="0"/>
          <w:caps w:val="0"/>
          <w:color w:val="333333"/>
          <w:spacing w:val="0"/>
          <w:sz w:val="32"/>
          <w:szCs w:val="32"/>
          <w:shd w:val="clear" w:color="auto" w:fill="FFFFFF"/>
        </w:rPr>
        <w:t>全面建立居家探访制度，通过政府购买服务等方式，落实定期巡访独居、空巢、留守、失能老年人工作机制。探索通过公开招投标方式，支持有资质的社会组织接受计划生育特殊家庭、孤寡、残疾等特殊老年人委托，依法代为办理入住养老机构、就医等事务。</w:t>
      </w:r>
      <w:r>
        <w:rPr>
          <w:rFonts w:hint="eastAsia" w:ascii="楷体_GB2312" w:hAnsi="楷体_GB2312" w:eastAsia="楷体_GB2312" w:cs="楷体_GB2312"/>
          <w:b/>
          <w:bCs/>
          <w:i w:val="0"/>
          <w:caps w:val="0"/>
          <w:color w:val="333333"/>
          <w:spacing w:val="0"/>
          <w:sz w:val="32"/>
          <w:szCs w:val="32"/>
          <w:shd w:val="clear" w:color="auto" w:fill="FFFFFF"/>
        </w:rPr>
        <w:t>（省民政厅、省卫生健康委、各设区市政府按职责分工负责）</w:t>
      </w:r>
    </w:p>
    <w:p>
      <w:pPr>
        <w:pStyle w:val="6"/>
        <w:widowControl/>
        <w:pBdr>
          <w:top w:val="none" w:color="auto" w:sz="0" w:space="0"/>
          <w:left w:val="none" w:color="auto" w:sz="0" w:space="0"/>
          <w:bottom w:val="none" w:color="auto" w:sz="0" w:space="0"/>
          <w:right w:val="none" w:color="auto" w:sz="0" w:space="0"/>
        </w:pBdr>
        <w:shd w:val="clear" w:color="auto" w:fill="FFFFFF"/>
        <w:wordWrap/>
        <w:adjustRightInd/>
        <w:snapToGrid/>
        <w:spacing w:before="225" w:beforeAutospacing="0" w:after="225" w:afterAutospacing="0" w:line="570" w:lineRule="exact"/>
        <w:ind w:left="0" w:leftChars="0" w:right="0" w:firstLine="640" w:firstLineChars="200"/>
        <w:textAlignment w:val="auto"/>
        <w:outlineLvl w:val="9"/>
        <w:rPr>
          <w:rFonts w:hint="eastAsia" w:ascii="黑体" w:hAnsi="黑体" w:eastAsia="黑体" w:cs="黑体"/>
          <w:b/>
          <w:bCs/>
          <w:i w:val="0"/>
          <w:caps w:val="0"/>
          <w:color w:val="333333"/>
          <w:spacing w:val="0"/>
          <w:sz w:val="32"/>
          <w:szCs w:val="32"/>
          <w:shd w:val="clear" w:color="auto" w:fill="FFFFFF"/>
        </w:rPr>
      </w:pPr>
      <w:r>
        <w:rPr>
          <w:rFonts w:hint="eastAsia" w:ascii="黑体" w:hAnsi="黑体" w:eastAsia="黑体" w:cs="黑体"/>
          <w:b/>
          <w:bCs/>
          <w:i w:val="0"/>
          <w:caps w:val="0"/>
          <w:color w:val="333333"/>
          <w:spacing w:val="0"/>
          <w:sz w:val="32"/>
          <w:szCs w:val="32"/>
          <w:shd w:val="clear" w:color="auto" w:fill="FFFFFF"/>
        </w:rPr>
        <w:t>三、深化放管服改革</w:t>
      </w:r>
    </w:p>
    <w:p>
      <w:pPr>
        <w:pStyle w:val="6"/>
        <w:widowControl/>
        <w:pBdr>
          <w:top w:val="none" w:color="auto" w:sz="0" w:space="0"/>
          <w:left w:val="none" w:color="auto" w:sz="0" w:space="0"/>
          <w:bottom w:val="none" w:color="auto" w:sz="0" w:space="0"/>
          <w:right w:val="none" w:color="auto" w:sz="0" w:space="0"/>
        </w:pBdr>
        <w:shd w:val="clear" w:color="auto" w:fill="FFFFFF"/>
        <w:wordWrap/>
        <w:adjustRightInd/>
        <w:snapToGrid/>
        <w:spacing w:before="225" w:beforeAutospacing="0" w:after="225" w:afterAutospacing="0" w:line="570" w:lineRule="exact"/>
        <w:ind w:left="0" w:leftChars="0" w:right="0" w:firstLine="640" w:firstLineChars="200"/>
        <w:textAlignment w:val="auto"/>
        <w:outlineLvl w:val="9"/>
        <w:rPr>
          <w:rFonts w:hint="eastAsia" w:ascii="楷体_GB2312" w:hAnsi="楷体_GB2312" w:eastAsia="楷体_GB2312" w:cs="楷体_GB2312"/>
          <w:b/>
          <w:bCs/>
          <w:i w:val="0"/>
          <w:caps w:val="0"/>
          <w:color w:val="333333"/>
          <w:spacing w:val="0"/>
          <w:sz w:val="32"/>
          <w:szCs w:val="32"/>
          <w:shd w:val="clear" w:color="auto" w:fill="FFFFFF"/>
        </w:rPr>
      </w:pPr>
      <w:r>
        <w:rPr>
          <w:rFonts w:hint="eastAsia" w:ascii="楷体_GB2312" w:hAnsi="楷体_GB2312" w:eastAsia="楷体_GB2312" w:cs="楷体_GB2312"/>
          <w:b/>
          <w:bCs/>
          <w:i w:val="0"/>
          <w:caps w:val="0"/>
          <w:color w:val="333333"/>
          <w:spacing w:val="0"/>
          <w:sz w:val="32"/>
          <w:szCs w:val="32"/>
          <w:shd w:val="clear" w:color="auto" w:fill="FFFFFF"/>
        </w:rPr>
        <w:t>（九）深化公办养老机构改革。</w:t>
      </w:r>
      <w:r>
        <w:rPr>
          <w:rFonts w:hint="eastAsia" w:ascii="仿宋_GB2312" w:hAnsi="仿宋_GB2312" w:eastAsia="仿宋_GB2312" w:cs="仿宋_GB2312"/>
          <w:i w:val="0"/>
          <w:caps w:val="0"/>
          <w:color w:val="333333"/>
          <w:spacing w:val="0"/>
          <w:sz w:val="32"/>
          <w:szCs w:val="32"/>
          <w:shd w:val="clear" w:color="auto" w:fill="FFFFFF"/>
        </w:rPr>
        <w:t>在发挥公办养老机构兜底保障作用的前提下，重点为经济困难失能老年人、计划生育特殊家庭老年人提供无偿或低收费托养服务，其余床位允许向社会开放。制定公办养老机构公建民营实施管理办法。每个市确定一个县（区）开展公办养老机构公建民营试点，到2020年政府运营的养老床位数占当地养老床位总数的比例不超过50%。有条件的公办养老机构可改制为国有养老服务企业。</w:t>
      </w:r>
      <w:r>
        <w:rPr>
          <w:rFonts w:hint="eastAsia" w:ascii="楷体_GB2312" w:hAnsi="楷体_GB2312" w:eastAsia="楷体_GB2312" w:cs="楷体_GB2312"/>
          <w:b/>
          <w:bCs/>
          <w:i w:val="0"/>
          <w:caps w:val="0"/>
          <w:color w:val="333333"/>
          <w:spacing w:val="0"/>
          <w:sz w:val="32"/>
          <w:szCs w:val="32"/>
          <w:shd w:val="clear" w:color="auto" w:fill="FFFFFF"/>
        </w:rPr>
        <w:t>（省民政厅、省发展改革委、省卫生健康委、省财政厅、省委编办、省国资委、各设区市政府按职责分工负责）</w:t>
      </w:r>
    </w:p>
    <w:p>
      <w:pPr>
        <w:pStyle w:val="6"/>
        <w:widowControl/>
        <w:pBdr>
          <w:top w:val="none" w:color="auto" w:sz="0" w:space="0"/>
          <w:left w:val="none" w:color="auto" w:sz="0" w:space="0"/>
          <w:bottom w:val="none" w:color="auto" w:sz="0" w:space="0"/>
          <w:right w:val="none" w:color="auto" w:sz="0" w:space="0"/>
        </w:pBdr>
        <w:shd w:val="clear" w:color="auto" w:fill="FFFFFF"/>
        <w:wordWrap/>
        <w:adjustRightInd/>
        <w:snapToGrid/>
        <w:spacing w:before="225" w:beforeAutospacing="0" w:after="225" w:afterAutospacing="0" w:line="570" w:lineRule="exact"/>
        <w:ind w:left="0" w:leftChars="0" w:right="0" w:firstLine="640" w:firstLineChars="200"/>
        <w:textAlignment w:val="auto"/>
        <w:outlineLvl w:val="9"/>
        <w:rPr>
          <w:rFonts w:hint="eastAsia" w:ascii="楷体_GB2312" w:hAnsi="楷体_GB2312" w:eastAsia="楷体_GB2312" w:cs="楷体_GB2312"/>
          <w:b/>
          <w:bCs/>
          <w:i w:val="0"/>
          <w:caps w:val="0"/>
          <w:color w:val="333333"/>
          <w:spacing w:val="0"/>
          <w:sz w:val="32"/>
          <w:szCs w:val="32"/>
          <w:shd w:val="clear" w:color="auto" w:fill="FFFFFF"/>
        </w:rPr>
      </w:pPr>
      <w:r>
        <w:rPr>
          <w:rFonts w:hint="eastAsia" w:ascii="楷体_GB2312" w:hAnsi="楷体_GB2312" w:eastAsia="楷体_GB2312" w:cs="楷体_GB2312"/>
          <w:b/>
          <w:bCs/>
          <w:i w:val="0"/>
          <w:caps w:val="0"/>
          <w:color w:val="333333"/>
          <w:spacing w:val="0"/>
          <w:sz w:val="32"/>
          <w:szCs w:val="32"/>
          <w:shd w:val="clear" w:color="auto" w:fill="FFFFFF"/>
        </w:rPr>
        <w:t>（十）解决养老机构消防审验问题。</w:t>
      </w:r>
      <w:r>
        <w:rPr>
          <w:rFonts w:hint="eastAsia" w:ascii="仿宋_GB2312" w:hAnsi="仿宋_GB2312" w:eastAsia="仿宋_GB2312" w:cs="仿宋_GB2312"/>
          <w:i w:val="0"/>
          <w:caps w:val="0"/>
          <w:color w:val="333333"/>
          <w:spacing w:val="0"/>
          <w:sz w:val="32"/>
          <w:szCs w:val="32"/>
          <w:shd w:val="clear" w:color="auto" w:fill="FFFFFF"/>
        </w:rPr>
        <w:t>养老机构应符合《建筑设计防火规范》《老年人照料设施建筑设计标准》等规范标准要求。农村特困人员供养机构及利用学校、厂房、商业场所等举办养老机构，依法需要办理建设工程规划许可的，应当提供建设工程规划许可证，满足消防安全要求的，相关主管部门应出具消防审验意见；符合消防安全要求的养老机构，因未办理不动产登记、土地规划等手续问题未能通过消防审验的，2019年年底前，由省民政厅提请省政府组织有关部门集中研究处置。</w:t>
      </w:r>
      <w:r>
        <w:rPr>
          <w:rFonts w:hint="eastAsia" w:ascii="楷体_GB2312" w:hAnsi="楷体_GB2312" w:eastAsia="楷体_GB2312" w:cs="楷体_GB2312"/>
          <w:b/>
          <w:bCs/>
          <w:i w:val="0"/>
          <w:caps w:val="0"/>
          <w:color w:val="333333"/>
          <w:spacing w:val="0"/>
          <w:sz w:val="32"/>
          <w:szCs w:val="32"/>
          <w:shd w:val="clear" w:color="auto" w:fill="FFFFFF"/>
        </w:rPr>
        <w:t>（省住房城乡建设厅、省应急厅、省自然资源厅、省民政厅、各设区市政府按职责分工负责）</w:t>
      </w:r>
    </w:p>
    <w:p>
      <w:pPr>
        <w:pStyle w:val="6"/>
        <w:widowControl/>
        <w:pBdr>
          <w:top w:val="none" w:color="auto" w:sz="0" w:space="0"/>
          <w:left w:val="none" w:color="auto" w:sz="0" w:space="0"/>
          <w:bottom w:val="none" w:color="auto" w:sz="0" w:space="0"/>
          <w:right w:val="none" w:color="auto" w:sz="0" w:space="0"/>
        </w:pBdr>
        <w:shd w:val="clear" w:color="auto" w:fill="FFFFFF"/>
        <w:wordWrap/>
        <w:adjustRightInd/>
        <w:snapToGrid/>
        <w:spacing w:before="225" w:beforeAutospacing="0" w:after="225" w:afterAutospacing="0" w:line="570" w:lineRule="exact"/>
        <w:ind w:left="0" w:leftChars="0" w:right="0" w:firstLine="640" w:firstLineChars="200"/>
        <w:textAlignment w:val="auto"/>
        <w:outlineLvl w:val="9"/>
        <w:rPr>
          <w:rFonts w:hint="eastAsia" w:ascii="楷体_GB2312" w:hAnsi="楷体_GB2312" w:eastAsia="楷体_GB2312" w:cs="楷体_GB2312"/>
          <w:b/>
          <w:bCs/>
          <w:i w:val="0"/>
          <w:caps w:val="0"/>
          <w:color w:val="333333"/>
          <w:spacing w:val="0"/>
          <w:sz w:val="32"/>
          <w:szCs w:val="32"/>
          <w:shd w:val="clear" w:color="auto" w:fill="FFFFFF"/>
        </w:rPr>
      </w:pPr>
      <w:r>
        <w:rPr>
          <w:rFonts w:hint="eastAsia" w:ascii="楷体_GB2312" w:hAnsi="楷体_GB2312" w:eastAsia="楷体_GB2312" w:cs="楷体_GB2312"/>
          <w:b/>
          <w:bCs/>
          <w:i w:val="0"/>
          <w:caps w:val="0"/>
          <w:color w:val="333333"/>
          <w:spacing w:val="0"/>
          <w:sz w:val="32"/>
          <w:szCs w:val="32"/>
          <w:shd w:val="clear" w:color="auto" w:fill="FFFFFF"/>
        </w:rPr>
        <w:t>（十一）有效增加养老服务供给。</w:t>
      </w:r>
      <w:r>
        <w:rPr>
          <w:rFonts w:hint="eastAsia" w:ascii="仿宋_GB2312" w:hAnsi="仿宋_GB2312" w:eastAsia="仿宋_GB2312" w:cs="仿宋_GB2312"/>
          <w:i w:val="0"/>
          <w:caps w:val="0"/>
          <w:color w:val="333333"/>
          <w:spacing w:val="0"/>
          <w:sz w:val="32"/>
          <w:szCs w:val="32"/>
          <w:shd w:val="clear" w:color="auto" w:fill="FFFFFF"/>
        </w:rPr>
        <w:t>充分利用闲置房产资源拓展养老床位供给渠道。市、县、区政府要制定整合闲置设施改造为养老服务设施的政策措施。推进国有企业所属培训中心和疗养机构改革，对具备转型开展养老服务条件的，应面向社会提供养老服务。</w:t>
      </w:r>
      <w:r>
        <w:rPr>
          <w:rFonts w:hint="eastAsia" w:ascii="楷体_GB2312" w:hAnsi="楷体_GB2312" w:eastAsia="楷体_GB2312" w:cs="楷体_GB2312"/>
          <w:b/>
          <w:bCs/>
          <w:i w:val="0"/>
          <w:caps w:val="0"/>
          <w:color w:val="333333"/>
          <w:spacing w:val="0"/>
          <w:sz w:val="32"/>
          <w:szCs w:val="32"/>
          <w:shd w:val="clear" w:color="auto" w:fill="FFFFFF"/>
        </w:rPr>
        <w:t>（省住房城乡建设厅、省民政厅、省国资委、各设区市政府按职责分工负责）</w:t>
      </w:r>
    </w:p>
    <w:p>
      <w:pPr>
        <w:pStyle w:val="6"/>
        <w:widowControl/>
        <w:pBdr>
          <w:top w:val="none" w:color="auto" w:sz="0" w:space="0"/>
          <w:left w:val="none" w:color="auto" w:sz="0" w:space="0"/>
          <w:bottom w:val="none" w:color="auto" w:sz="0" w:space="0"/>
          <w:right w:val="none" w:color="auto" w:sz="0" w:space="0"/>
        </w:pBdr>
        <w:shd w:val="clear" w:color="auto" w:fill="FFFFFF"/>
        <w:wordWrap/>
        <w:adjustRightInd/>
        <w:snapToGrid/>
        <w:spacing w:before="225" w:beforeAutospacing="0" w:after="225" w:afterAutospacing="0" w:line="570" w:lineRule="exact"/>
        <w:ind w:left="0" w:leftChars="0" w:right="0" w:firstLine="640" w:firstLineChars="200"/>
        <w:textAlignment w:val="auto"/>
        <w:outlineLvl w:val="9"/>
        <w:rPr>
          <w:rFonts w:hint="eastAsia" w:ascii="楷体_GB2312" w:hAnsi="楷体_GB2312" w:eastAsia="楷体_GB2312" w:cs="楷体_GB2312"/>
          <w:b/>
          <w:bCs/>
          <w:i w:val="0"/>
          <w:caps w:val="0"/>
          <w:color w:val="333333"/>
          <w:spacing w:val="0"/>
          <w:sz w:val="32"/>
          <w:szCs w:val="32"/>
          <w:shd w:val="clear" w:color="auto" w:fill="FFFFFF"/>
        </w:rPr>
      </w:pPr>
      <w:r>
        <w:rPr>
          <w:rFonts w:hint="eastAsia" w:ascii="楷体_GB2312" w:hAnsi="楷体_GB2312" w:eastAsia="楷体_GB2312" w:cs="楷体_GB2312"/>
          <w:b/>
          <w:bCs/>
          <w:i w:val="0"/>
          <w:caps w:val="0"/>
          <w:color w:val="333333"/>
          <w:spacing w:val="0"/>
          <w:sz w:val="32"/>
          <w:szCs w:val="32"/>
          <w:shd w:val="clear" w:color="auto" w:fill="FFFFFF"/>
        </w:rPr>
        <w:t>（十二）提升政府投入精准化水平。</w:t>
      </w:r>
      <w:r>
        <w:rPr>
          <w:rFonts w:hint="eastAsia" w:ascii="仿宋_GB2312" w:hAnsi="仿宋_GB2312" w:eastAsia="仿宋_GB2312" w:cs="仿宋_GB2312"/>
          <w:i w:val="0"/>
          <w:caps w:val="0"/>
          <w:color w:val="333333"/>
          <w:spacing w:val="0"/>
          <w:sz w:val="32"/>
          <w:szCs w:val="32"/>
          <w:shd w:val="clear" w:color="auto" w:fill="FFFFFF"/>
        </w:rPr>
        <w:t>全省各级政府用于社会福利事业的彩票公益金，要加大倾斜力度，到2022年要将不低于55%的资金用于支持发展养老服务。经营性和公益性民办养老机构享受同等补贴政策。制定政府购买养老服务标准，重点购买生活照料、康复护理、机构运营、社会工作和人员培养等服务。</w:t>
      </w:r>
      <w:r>
        <w:rPr>
          <w:rFonts w:hint="eastAsia" w:ascii="楷体_GB2312" w:hAnsi="楷体_GB2312" w:eastAsia="楷体_GB2312" w:cs="楷体_GB2312"/>
          <w:b/>
          <w:bCs/>
          <w:i w:val="0"/>
          <w:caps w:val="0"/>
          <w:color w:val="333333"/>
          <w:spacing w:val="0"/>
          <w:sz w:val="32"/>
          <w:szCs w:val="32"/>
          <w:shd w:val="clear" w:color="auto" w:fill="FFFFFF"/>
        </w:rPr>
        <w:t>（省财政厅、省民政厅、省卫生健康委、各设区市政府按职责分工负责）</w:t>
      </w:r>
    </w:p>
    <w:p>
      <w:pPr>
        <w:pStyle w:val="6"/>
        <w:widowControl/>
        <w:pBdr>
          <w:top w:val="none" w:color="auto" w:sz="0" w:space="0"/>
          <w:left w:val="none" w:color="auto" w:sz="0" w:space="0"/>
          <w:bottom w:val="none" w:color="auto" w:sz="0" w:space="0"/>
          <w:right w:val="none" w:color="auto" w:sz="0" w:space="0"/>
        </w:pBdr>
        <w:shd w:val="clear" w:color="auto" w:fill="FFFFFF"/>
        <w:wordWrap/>
        <w:adjustRightInd/>
        <w:snapToGrid/>
        <w:spacing w:before="225" w:beforeAutospacing="0" w:after="225" w:afterAutospacing="0" w:line="570" w:lineRule="exact"/>
        <w:ind w:left="0" w:leftChars="0" w:right="0" w:firstLine="640" w:firstLineChars="200"/>
        <w:textAlignment w:val="auto"/>
        <w:outlineLvl w:val="9"/>
        <w:rPr>
          <w:rFonts w:hint="eastAsia" w:ascii="楷体_GB2312" w:hAnsi="楷体_GB2312" w:eastAsia="楷体_GB2312" w:cs="楷体_GB2312"/>
          <w:b/>
          <w:bCs/>
          <w:i w:val="0"/>
          <w:caps w:val="0"/>
          <w:color w:val="333333"/>
          <w:spacing w:val="0"/>
          <w:sz w:val="32"/>
          <w:szCs w:val="32"/>
          <w:shd w:val="clear" w:color="auto" w:fill="FFFFFF"/>
        </w:rPr>
      </w:pPr>
      <w:r>
        <w:rPr>
          <w:rFonts w:hint="eastAsia" w:ascii="楷体_GB2312" w:hAnsi="楷体_GB2312" w:eastAsia="楷体_GB2312" w:cs="楷体_GB2312"/>
          <w:b/>
          <w:bCs/>
          <w:i w:val="0"/>
          <w:caps w:val="0"/>
          <w:color w:val="333333"/>
          <w:spacing w:val="0"/>
          <w:sz w:val="32"/>
          <w:szCs w:val="32"/>
          <w:shd w:val="clear" w:color="auto" w:fill="FFFFFF"/>
        </w:rPr>
        <w:t>（十三）实施养老服务综合监管。</w:t>
      </w:r>
      <w:r>
        <w:rPr>
          <w:rFonts w:hint="eastAsia" w:ascii="仿宋_GB2312" w:hAnsi="仿宋_GB2312" w:eastAsia="仿宋_GB2312" w:cs="仿宋_GB2312"/>
          <w:i w:val="0"/>
          <w:caps w:val="0"/>
          <w:color w:val="333333"/>
          <w:spacing w:val="0"/>
          <w:sz w:val="32"/>
          <w:szCs w:val="32"/>
          <w:shd w:val="clear" w:color="auto" w:fill="FFFFFF"/>
        </w:rPr>
        <w:t>制定养老服务责任清单，完善跨部门协同监管机制。推进“双随机、一公开”覆盖所有养老服务机构、社会组织和企业。加强养老服务领域社会信用体系建设,建立健全联合奖惩机制。组织开展老年人产品和服务消费领域侵权行为专项整治并形成长效机制。</w:t>
      </w:r>
      <w:r>
        <w:rPr>
          <w:rFonts w:hint="eastAsia" w:ascii="楷体_GB2312" w:hAnsi="楷体_GB2312" w:eastAsia="楷体_GB2312" w:cs="楷体_GB2312"/>
          <w:b/>
          <w:bCs/>
          <w:i w:val="0"/>
          <w:caps w:val="0"/>
          <w:color w:val="333333"/>
          <w:spacing w:val="0"/>
          <w:sz w:val="32"/>
          <w:szCs w:val="32"/>
          <w:shd w:val="clear" w:color="auto" w:fill="FFFFFF"/>
        </w:rPr>
        <w:t>（省民政厅、省市场监管局、省发展改革委、省卫生健康委、省公安厅、省住房城乡建设厅、省应急厅、省地方金融监管局、各设区市政府按职责分工负责）</w:t>
      </w:r>
    </w:p>
    <w:p>
      <w:pPr>
        <w:pStyle w:val="6"/>
        <w:widowControl/>
        <w:pBdr>
          <w:top w:val="none" w:color="auto" w:sz="0" w:space="0"/>
          <w:left w:val="none" w:color="auto" w:sz="0" w:space="0"/>
          <w:bottom w:val="none" w:color="auto" w:sz="0" w:space="0"/>
          <w:right w:val="none" w:color="auto" w:sz="0" w:space="0"/>
        </w:pBdr>
        <w:shd w:val="clear" w:color="auto" w:fill="FFFFFF"/>
        <w:wordWrap/>
        <w:adjustRightInd/>
        <w:snapToGrid/>
        <w:spacing w:before="225" w:beforeAutospacing="0" w:after="225" w:afterAutospacing="0" w:line="570" w:lineRule="exact"/>
        <w:ind w:left="0" w:leftChars="0" w:right="0" w:firstLine="640" w:firstLineChars="200"/>
        <w:textAlignment w:val="auto"/>
        <w:outlineLvl w:val="9"/>
        <w:rPr>
          <w:rFonts w:hint="eastAsia" w:ascii="黑体" w:hAnsi="黑体" w:eastAsia="黑体" w:cs="黑体"/>
          <w:b/>
          <w:bCs/>
          <w:i w:val="0"/>
          <w:caps w:val="0"/>
          <w:color w:val="333333"/>
          <w:spacing w:val="0"/>
          <w:sz w:val="32"/>
          <w:szCs w:val="32"/>
          <w:shd w:val="clear" w:color="auto" w:fill="FFFFFF"/>
        </w:rPr>
      </w:pPr>
      <w:r>
        <w:rPr>
          <w:rFonts w:hint="eastAsia" w:ascii="黑体" w:hAnsi="黑体" w:eastAsia="黑体" w:cs="黑体"/>
          <w:b/>
          <w:bCs/>
          <w:i w:val="0"/>
          <w:caps w:val="0"/>
          <w:color w:val="333333"/>
          <w:spacing w:val="0"/>
          <w:sz w:val="32"/>
          <w:szCs w:val="32"/>
          <w:shd w:val="clear" w:color="auto" w:fill="FFFFFF"/>
        </w:rPr>
        <w:t>四、强化保障措施</w:t>
      </w:r>
    </w:p>
    <w:p>
      <w:pPr>
        <w:pStyle w:val="6"/>
        <w:widowControl/>
        <w:pBdr>
          <w:top w:val="none" w:color="auto" w:sz="0" w:space="0"/>
          <w:left w:val="none" w:color="auto" w:sz="0" w:space="0"/>
          <w:bottom w:val="none" w:color="auto" w:sz="0" w:space="0"/>
          <w:right w:val="none" w:color="auto" w:sz="0" w:space="0"/>
        </w:pBdr>
        <w:shd w:val="clear" w:color="auto" w:fill="FFFFFF"/>
        <w:wordWrap/>
        <w:adjustRightInd/>
        <w:snapToGrid/>
        <w:spacing w:before="225" w:beforeAutospacing="0" w:after="225" w:afterAutospacing="0" w:line="570" w:lineRule="exact"/>
        <w:ind w:left="0" w:leftChars="0" w:right="0" w:firstLine="640" w:firstLineChars="200"/>
        <w:textAlignment w:val="auto"/>
        <w:outlineLvl w:val="9"/>
        <w:rPr>
          <w:rFonts w:hint="eastAsia" w:ascii="楷体_GB2312" w:hAnsi="楷体_GB2312" w:eastAsia="楷体_GB2312" w:cs="楷体_GB2312"/>
          <w:b/>
          <w:bCs/>
          <w:i w:val="0"/>
          <w:caps w:val="0"/>
          <w:color w:val="333333"/>
          <w:spacing w:val="0"/>
          <w:sz w:val="32"/>
          <w:szCs w:val="32"/>
          <w:shd w:val="clear" w:color="auto" w:fill="FFFFFF"/>
        </w:rPr>
      </w:pPr>
      <w:r>
        <w:rPr>
          <w:rFonts w:hint="eastAsia" w:ascii="楷体_GB2312" w:hAnsi="楷体_GB2312" w:eastAsia="楷体_GB2312" w:cs="楷体_GB2312"/>
          <w:b/>
          <w:bCs/>
          <w:i w:val="0"/>
          <w:caps w:val="0"/>
          <w:color w:val="333333"/>
          <w:spacing w:val="0"/>
          <w:sz w:val="32"/>
          <w:szCs w:val="32"/>
          <w:shd w:val="clear" w:color="auto" w:fill="FFFFFF"/>
        </w:rPr>
        <w:t>（十四）加大优惠扶持力度。</w:t>
      </w:r>
      <w:r>
        <w:rPr>
          <w:rFonts w:hint="eastAsia" w:ascii="仿宋_GB2312" w:hAnsi="仿宋_GB2312" w:eastAsia="仿宋_GB2312" w:cs="仿宋_GB2312"/>
          <w:i w:val="0"/>
          <w:caps w:val="0"/>
          <w:color w:val="333333"/>
          <w:spacing w:val="0"/>
          <w:sz w:val="32"/>
          <w:szCs w:val="32"/>
          <w:shd w:val="clear" w:color="auto" w:fill="FFFFFF"/>
        </w:rPr>
        <w:t>落实非营利性养老服务机构企业所得税支持政策。对在社区提供日间照料、康复护理、助餐助行等服务的养老服务机构给予税费减免扶持政策。落实各项行政事业性收费减免和养老服务设施供地政策。境外资本在我省举办养老服务机构接收政府兜底保障对象的，同等享受运营补贴等优惠政策。</w:t>
      </w:r>
      <w:r>
        <w:rPr>
          <w:rFonts w:hint="eastAsia" w:ascii="楷体_GB2312" w:hAnsi="楷体_GB2312" w:eastAsia="楷体_GB2312" w:cs="楷体_GB2312"/>
          <w:b/>
          <w:bCs/>
          <w:i w:val="0"/>
          <w:caps w:val="0"/>
          <w:color w:val="333333"/>
          <w:spacing w:val="0"/>
          <w:sz w:val="32"/>
          <w:szCs w:val="32"/>
          <w:shd w:val="clear" w:color="auto" w:fill="FFFFFF"/>
        </w:rPr>
        <w:t>（省财政厅、省税务局、省发展改革委、省住房城乡建设厅、省自然资源厅、省市场监管局、各设区市政府按职责分工负责）</w:t>
      </w:r>
    </w:p>
    <w:p>
      <w:pPr>
        <w:pStyle w:val="6"/>
        <w:widowControl/>
        <w:pBdr>
          <w:top w:val="none" w:color="auto" w:sz="0" w:space="0"/>
          <w:left w:val="none" w:color="auto" w:sz="0" w:space="0"/>
          <w:bottom w:val="none" w:color="auto" w:sz="0" w:space="0"/>
          <w:right w:val="none" w:color="auto" w:sz="0" w:space="0"/>
        </w:pBdr>
        <w:shd w:val="clear" w:color="auto" w:fill="FFFFFF"/>
        <w:wordWrap/>
        <w:adjustRightInd/>
        <w:snapToGrid/>
        <w:spacing w:before="225" w:beforeAutospacing="0" w:after="225" w:afterAutospacing="0" w:line="570" w:lineRule="exact"/>
        <w:ind w:left="0" w:leftChars="0" w:right="0" w:firstLine="640" w:firstLineChars="200"/>
        <w:textAlignment w:val="auto"/>
        <w:outlineLvl w:val="9"/>
        <w:rPr>
          <w:rFonts w:hint="eastAsia" w:ascii="楷体_GB2312" w:hAnsi="楷体_GB2312" w:eastAsia="楷体_GB2312" w:cs="楷体_GB2312"/>
          <w:b/>
          <w:bCs/>
          <w:i w:val="0"/>
          <w:caps w:val="0"/>
          <w:color w:val="333333"/>
          <w:spacing w:val="0"/>
          <w:sz w:val="32"/>
          <w:szCs w:val="32"/>
          <w:shd w:val="clear" w:color="auto" w:fill="FFFFFF"/>
        </w:rPr>
      </w:pPr>
      <w:r>
        <w:rPr>
          <w:rFonts w:hint="eastAsia" w:ascii="楷体_GB2312" w:hAnsi="楷体_GB2312" w:eastAsia="楷体_GB2312" w:cs="楷体_GB2312"/>
          <w:b/>
          <w:bCs/>
          <w:i w:val="0"/>
          <w:caps w:val="0"/>
          <w:color w:val="333333"/>
          <w:spacing w:val="0"/>
          <w:sz w:val="32"/>
          <w:szCs w:val="32"/>
          <w:shd w:val="clear" w:color="auto" w:fill="FFFFFF"/>
        </w:rPr>
        <w:t>(十五)拓宽投融资渠道。</w:t>
      </w:r>
      <w:r>
        <w:rPr>
          <w:rFonts w:hint="eastAsia" w:ascii="仿宋_GB2312" w:hAnsi="仿宋_GB2312" w:eastAsia="仿宋_GB2312" w:cs="仿宋_GB2312"/>
          <w:i w:val="0"/>
          <w:caps w:val="0"/>
          <w:color w:val="333333"/>
          <w:spacing w:val="0"/>
          <w:sz w:val="32"/>
          <w:szCs w:val="32"/>
          <w:shd w:val="clear" w:color="auto" w:fill="FFFFFF"/>
        </w:rPr>
        <w:t>鼓励已经设立的各级政府投资基金以及社会资本设立的基金投资养老服务业。鼓励社会资本以设立基金、发行企业债券等方式筹集资金建设养老设施。支持符合条件的养老服务企业上市融资。支持商业保险机构举办养老社区、养老服务园区和健康管理中心，参与养老服务机构建设和运营。</w:t>
      </w:r>
      <w:r>
        <w:rPr>
          <w:rFonts w:hint="eastAsia" w:ascii="楷体_GB2312" w:hAnsi="楷体_GB2312" w:eastAsia="楷体_GB2312" w:cs="楷体_GB2312"/>
          <w:b/>
          <w:bCs/>
          <w:i w:val="0"/>
          <w:caps w:val="0"/>
          <w:color w:val="333333"/>
          <w:spacing w:val="0"/>
          <w:sz w:val="32"/>
          <w:szCs w:val="32"/>
          <w:shd w:val="clear" w:color="auto" w:fill="FFFFFF"/>
        </w:rPr>
        <w:t>（省财政厅、省发展改革委、省地方金融监管局、人民银行西安分行、陕西银保监局、陕西证监局、省自然资源厅、省民政厅、各设区市政府按职责分工负责）</w:t>
      </w:r>
    </w:p>
    <w:p>
      <w:pPr>
        <w:pStyle w:val="6"/>
        <w:widowControl/>
        <w:pBdr>
          <w:top w:val="none" w:color="auto" w:sz="0" w:space="0"/>
          <w:left w:val="none" w:color="auto" w:sz="0" w:space="0"/>
          <w:bottom w:val="none" w:color="auto" w:sz="0" w:space="0"/>
          <w:right w:val="none" w:color="auto" w:sz="0" w:space="0"/>
        </w:pBdr>
        <w:shd w:val="clear" w:color="auto" w:fill="FFFFFF"/>
        <w:wordWrap/>
        <w:adjustRightInd/>
        <w:snapToGrid/>
        <w:spacing w:before="225" w:beforeAutospacing="0" w:after="225" w:afterAutospacing="0" w:line="570" w:lineRule="exact"/>
        <w:ind w:left="0" w:leftChars="0" w:right="0" w:firstLine="640" w:firstLineChars="200"/>
        <w:textAlignment w:val="auto"/>
        <w:outlineLvl w:val="9"/>
        <w:rPr>
          <w:rFonts w:hint="eastAsia" w:ascii="楷体_GB2312" w:hAnsi="楷体_GB2312" w:eastAsia="楷体_GB2312" w:cs="楷体_GB2312"/>
          <w:b w:val="0"/>
          <w:bCs w:val="0"/>
          <w:i w:val="0"/>
          <w:caps w:val="0"/>
          <w:color w:val="333333"/>
          <w:spacing w:val="0"/>
          <w:sz w:val="32"/>
          <w:szCs w:val="32"/>
          <w:shd w:val="clear" w:color="auto" w:fill="FFFFFF"/>
        </w:rPr>
      </w:pPr>
      <w:r>
        <w:rPr>
          <w:rFonts w:hint="eastAsia" w:ascii="楷体_GB2312" w:hAnsi="楷体_GB2312" w:eastAsia="楷体_GB2312" w:cs="楷体_GB2312"/>
          <w:b/>
          <w:bCs/>
          <w:i w:val="0"/>
          <w:caps w:val="0"/>
          <w:color w:val="333333"/>
          <w:spacing w:val="0"/>
          <w:sz w:val="32"/>
          <w:szCs w:val="32"/>
          <w:shd w:val="clear" w:color="auto" w:fill="FFFFFF"/>
        </w:rPr>
        <w:t>（十六）推进养老服务吸纳就业。</w:t>
      </w:r>
      <w:r>
        <w:rPr>
          <w:rFonts w:hint="eastAsia" w:ascii="仿宋_GB2312" w:hAnsi="仿宋_GB2312" w:eastAsia="仿宋_GB2312" w:cs="仿宋_GB2312"/>
          <w:i w:val="0"/>
          <w:caps w:val="0"/>
          <w:color w:val="333333"/>
          <w:spacing w:val="0"/>
          <w:sz w:val="32"/>
          <w:szCs w:val="32"/>
          <w:shd w:val="clear" w:color="auto" w:fill="FFFFFF"/>
        </w:rPr>
        <w:t>鼓励各类院校设置养老服务相关专业或开设相关课程。开展养老服务人才培训提升行动和“1+X”证书试点与推广，实施养老护理员“千人培训计划”，2022年年底前全省培训300名养老院院长、5万余名养老护理员。按规定落实养老服务从业人员培训费补贴、职业技能鉴定补贴等政策。有条件的市（县）探索建立养老护理岗位补贴制度。加大基层特别是街道（乡镇）、社区（村）养老服务岗位开发力度，优先吸纳高校毕业生、就业困难人员、建档立卡贫困劳动力和农村留守妇女就业。对养老服务机构招用符合条件人员就业的，按规定给予社会保险、税收优惠等政策扶持。对见习期满留用率达到50%以上的见习单位，按留用人数对单位给予每人2000元的一次性见习留用补贴。</w:t>
      </w:r>
      <w:r>
        <w:rPr>
          <w:rFonts w:hint="eastAsia" w:ascii="楷体_GB2312" w:hAnsi="楷体_GB2312" w:eastAsia="楷体_GB2312" w:cs="楷体_GB2312"/>
          <w:b/>
          <w:bCs/>
          <w:i w:val="0"/>
          <w:caps w:val="0"/>
          <w:color w:val="333333"/>
          <w:spacing w:val="0"/>
          <w:sz w:val="32"/>
          <w:szCs w:val="32"/>
          <w:shd w:val="clear" w:color="auto" w:fill="FFFFFF"/>
        </w:rPr>
        <w:t>（省人力资源社会保障厅、省教育厅、省财政厅、省民政厅、省税务局、省市场监管局、省扶贫办、各设区市政府按职责分工负责）</w:t>
      </w:r>
    </w:p>
    <w:p>
      <w:pPr>
        <w:pStyle w:val="6"/>
        <w:widowControl/>
        <w:pBdr>
          <w:top w:val="none" w:color="auto" w:sz="0" w:space="0"/>
          <w:left w:val="none" w:color="auto" w:sz="0" w:space="0"/>
          <w:bottom w:val="none" w:color="auto" w:sz="0" w:space="0"/>
          <w:right w:val="none" w:color="auto" w:sz="0" w:space="0"/>
        </w:pBdr>
        <w:shd w:val="clear" w:color="auto" w:fill="FFFFFF"/>
        <w:wordWrap/>
        <w:adjustRightInd/>
        <w:snapToGrid/>
        <w:spacing w:before="225" w:beforeAutospacing="0" w:after="225" w:afterAutospacing="0" w:line="570" w:lineRule="exact"/>
        <w:ind w:left="0" w:leftChars="0" w:right="0" w:firstLine="640" w:firstLineChars="200"/>
        <w:textAlignment w:val="auto"/>
        <w:outlineLvl w:val="9"/>
        <w:rPr>
          <w:rFonts w:hint="eastAsia" w:ascii="楷体_GB2312" w:hAnsi="楷体_GB2312" w:eastAsia="楷体_GB2312" w:cs="楷体_GB2312"/>
          <w:b/>
          <w:bCs/>
          <w:i w:val="0"/>
          <w:caps w:val="0"/>
          <w:color w:val="333333"/>
          <w:spacing w:val="0"/>
          <w:sz w:val="32"/>
          <w:szCs w:val="32"/>
          <w:shd w:val="clear" w:color="auto" w:fill="FFFFFF"/>
        </w:rPr>
      </w:pPr>
      <w:r>
        <w:rPr>
          <w:rFonts w:hint="eastAsia" w:ascii="楷体_GB2312" w:hAnsi="楷体_GB2312" w:eastAsia="楷体_GB2312" w:cs="楷体_GB2312"/>
          <w:b/>
          <w:bCs/>
          <w:i w:val="0"/>
          <w:caps w:val="0"/>
          <w:color w:val="333333"/>
          <w:spacing w:val="0"/>
          <w:sz w:val="32"/>
          <w:szCs w:val="32"/>
          <w:shd w:val="clear" w:color="auto" w:fill="FFFFFF"/>
        </w:rPr>
        <w:t>（十七）加强基础设施建设。</w:t>
      </w:r>
      <w:r>
        <w:rPr>
          <w:rFonts w:hint="eastAsia" w:ascii="仿宋_GB2312" w:hAnsi="仿宋_GB2312" w:eastAsia="仿宋_GB2312" w:cs="仿宋_GB2312"/>
          <w:i w:val="0"/>
          <w:caps w:val="0"/>
          <w:color w:val="333333"/>
          <w:spacing w:val="0"/>
          <w:sz w:val="32"/>
          <w:szCs w:val="32"/>
          <w:shd w:val="clear" w:color="auto" w:fill="FFFFFF"/>
        </w:rPr>
        <w:t>严格落实新建住宅小区按人均用地不少于0</w:t>
      </w:r>
      <w:r>
        <w:rPr>
          <w:rFonts w:hint="eastAsia" w:ascii="仿宋_GB2312" w:hAnsi="仿宋_GB2312" w:eastAsia="仿宋_GB2312" w:cs="仿宋_GB2312"/>
          <w:i w:val="0"/>
          <w:caps w:val="0"/>
          <w:color w:val="333333"/>
          <w:spacing w:val="0"/>
          <w:sz w:val="32"/>
          <w:szCs w:val="32"/>
          <w:shd w:val="clear" w:color="auto" w:fill="FFFFFF"/>
          <w:lang w:val="en-US" w:eastAsia="zh-CN"/>
        </w:rPr>
        <w:t>.</w:t>
      </w:r>
      <w:r>
        <w:rPr>
          <w:rFonts w:hint="eastAsia" w:ascii="仿宋_GB2312" w:hAnsi="仿宋_GB2312" w:eastAsia="仿宋_GB2312" w:cs="仿宋_GB2312"/>
          <w:i w:val="0"/>
          <w:caps w:val="0"/>
          <w:color w:val="333333"/>
          <w:spacing w:val="0"/>
          <w:sz w:val="32"/>
          <w:szCs w:val="32"/>
          <w:shd w:val="clear" w:color="auto" w:fill="FFFFFF"/>
        </w:rPr>
        <w:t>1平方米的标准配套建设养老服务设施，开展新建住宅小区与配套养老服务设施“四同步”、养老服务设施达标等监督检查，到2022年配建养老服务设施达标率为100%。结合城镇老旧小区改造，统筹推进适老化设施改造。2020年年底前，采取政府补贴等方式对所有纳入特困供养、建档立卡范围的高龄、失能、残疾老年人家庭实施适老化改造。鼓励通过政府和社会资本合作、公建民营等方式，实施农村特困人员供养服务设施改造提升工程，到2022年年底前，每个县（市、区）至少建有1所以失能、部分失能人员专业照护为主的县级供养服务设施（敬老院）。通过以奖代补等方式，各级政府每年要安排福利彩票公益金支持民办养老机构实施消防安全达标工程，力争3年时间完成达标整改。</w:t>
      </w:r>
      <w:r>
        <w:rPr>
          <w:rFonts w:hint="eastAsia" w:ascii="楷体_GB2312" w:hAnsi="楷体_GB2312" w:eastAsia="楷体_GB2312" w:cs="楷体_GB2312"/>
          <w:b/>
          <w:bCs/>
          <w:i w:val="0"/>
          <w:caps w:val="0"/>
          <w:color w:val="333333"/>
          <w:spacing w:val="0"/>
          <w:sz w:val="32"/>
          <w:szCs w:val="32"/>
          <w:shd w:val="clear" w:color="auto" w:fill="FFFFFF"/>
        </w:rPr>
        <w:t>（省民政厅、省发展改革委、省财政厅、省应急厅、省住房城乡建设厅、省卫生健康委、省扶贫办、省残联、各设区市政府按职责分工负责）</w:t>
      </w:r>
    </w:p>
    <w:p>
      <w:pPr>
        <w:pStyle w:val="6"/>
        <w:widowControl/>
        <w:pBdr>
          <w:top w:val="none" w:color="auto" w:sz="0" w:space="0"/>
          <w:left w:val="none" w:color="auto" w:sz="0" w:space="0"/>
          <w:bottom w:val="none" w:color="auto" w:sz="0" w:space="0"/>
          <w:right w:val="none" w:color="auto" w:sz="0" w:space="0"/>
        </w:pBdr>
        <w:shd w:val="clear" w:color="auto" w:fill="FFFFFF"/>
        <w:wordWrap/>
        <w:adjustRightInd/>
        <w:snapToGrid/>
        <w:spacing w:before="225" w:beforeAutospacing="0" w:after="225" w:afterAutospacing="0" w:line="570" w:lineRule="exact"/>
        <w:ind w:left="0" w:leftChars="0" w:right="0" w:firstLine="640" w:firstLineChars="200"/>
        <w:textAlignment w:val="auto"/>
        <w:outlineLvl w:val="9"/>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rPr>
        <w:t>省政府建立由省民政厅牵头，相关部门为成员单位的养老服务工作联席会议制度，指导养老服务健康发展。各地要将养老服务政策落实纳入政府年度绩效考核范围，对落实养老服务政策主动、养老服务体系建设成效明显的，要进行激励表彰。</w:t>
      </w:r>
    </w:p>
    <w:p>
      <w:pPr>
        <w:pStyle w:val="6"/>
        <w:widowControl/>
        <w:pBdr>
          <w:top w:val="none" w:color="auto" w:sz="0" w:space="0"/>
          <w:left w:val="none" w:color="auto" w:sz="0" w:space="0"/>
          <w:bottom w:val="none" w:color="auto" w:sz="0" w:space="0"/>
          <w:right w:val="none" w:color="auto" w:sz="0" w:space="0"/>
        </w:pBdr>
        <w:shd w:val="clear" w:color="auto" w:fill="FFFFFF"/>
        <w:wordWrap/>
        <w:adjustRightInd/>
        <w:snapToGrid/>
        <w:spacing w:before="225" w:beforeAutospacing="0" w:after="225" w:afterAutospacing="0" w:line="570" w:lineRule="exact"/>
        <w:ind w:left="0" w:leftChars="0" w:right="0" w:firstLine="640" w:firstLineChars="200"/>
        <w:jc w:val="center"/>
        <w:textAlignment w:val="auto"/>
        <w:outlineLvl w:val="9"/>
        <w:rPr>
          <w:rFonts w:hint="eastAsia" w:ascii="仿宋_GB2312" w:hAnsi="仿宋_GB2312" w:eastAsia="仿宋_GB2312" w:cs="仿宋_GB2312"/>
          <w:i w:val="0"/>
          <w:caps w:val="0"/>
          <w:color w:val="333333"/>
          <w:spacing w:val="0"/>
          <w:sz w:val="32"/>
          <w:szCs w:val="32"/>
        </w:rPr>
      </w:pPr>
      <w:r>
        <w:rPr>
          <w:rFonts w:hint="eastAsia" w:ascii="楷体_GB2312" w:hAnsi="楷体_GB2312" w:eastAsia="楷体_GB2312" w:cs="楷体_GB2312"/>
          <w:b w:val="0"/>
          <w:bCs w:val="0"/>
          <w:i w:val="0"/>
          <w:caps w:val="0"/>
          <w:color w:val="333333"/>
          <w:spacing w:val="0"/>
          <w:sz w:val="32"/>
          <w:szCs w:val="32"/>
          <w:shd w:val="clear" w:color="auto" w:fill="FFFFFF"/>
          <w:lang w:val="en-US" w:eastAsia="zh-CN"/>
        </w:rPr>
        <w:t xml:space="preserve">                        </w:t>
      </w:r>
      <w:r>
        <w:rPr>
          <w:rFonts w:hint="eastAsia" w:ascii="楷体_GB2312" w:hAnsi="楷体_GB2312" w:eastAsia="楷体_GB2312" w:cs="楷体_GB2312"/>
          <w:b w:val="0"/>
          <w:bCs w:val="0"/>
          <w:i w:val="0"/>
          <w:caps w:val="0"/>
          <w:color w:val="333333"/>
          <w:spacing w:val="0"/>
          <w:sz w:val="32"/>
          <w:szCs w:val="32"/>
          <w:shd w:val="clear" w:color="auto" w:fill="FFFFFF"/>
        </w:rPr>
        <w:t>陕西省</w:t>
      </w:r>
      <w:r>
        <w:rPr>
          <w:rFonts w:hint="eastAsia" w:ascii="仿宋_GB2312" w:hAnsi="仿宋_GB2312" w:eastAsia="仿宋_GB2312" w:cs="仿宋_GB2312"/>
          <w:i w:val="0"/>
          <w:caps w:val="0"/>
          <w:color w:val="333333"/>
          <w:spacing w:val="0"/>
          <w:sz w:val="32"/>
          <w:szCs w:val="32"/>
          <w:shd w:val="clear" w:color="auto" w:fill="FFFFFF"/>
        </w:rPr>
        <w:t>人民政府办公厅</w:t>
      </w:r>
      <w:r>
        <w:rPr>
          <w:rFonts w:hint="eastAsia" w:ascii="仿宋_GB2312" w:hAnsi="仿宋_GB2312" w:eastAsia="仿宋_GB2312" w:cs="仿宋_GB2312"/>
          <w:i w:val="0"/>
          <w:caps w:val="0"/>
          <w:color w:val="333333"/>
          <w:spacing w:val="0"/>
          <w:sz w:val="32"/>
          <w:szCs w:val="32"/>
          <w:shd w:val="clear" w:color="auto" w:fill="FFFFFF"/>
        </w:rPr>
        <w:br/>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333333"/>
          <w:spacing w:val="0"/>
          <w:sz w:val="32"/>
          <w:szCs w:val="32"/>
          <w:shd w:val="clear" w:color="auto" w:fill="FFFFFF"/>
        </w:rPr>
        <w:t>2019年11月30日</w:t>
      </w:r>
    </w:p>
    <w:p>
      <w:pPr>
        <w:wordWrap w:val="0"/>
        <w:spacing w:line="570" w:lineRule="exact"/>
        <w:jc w:val="right"/>
        <w:rPr>
          <w:rFonts w:hint="eastAsia" w:ascii="仿宋_GB2312" w:hAnsi="仿宋_GB2312" w:eastAsia="仿宋_GB2312" w:cs="仿宋_GB2312"/>
          <w:sz w:val="32"/>
          <w:szCs w:val="32"/>
        </w:rPr>
      </w:pPr>
    </w:p>
    <w:sectPr>
      <w:headerReference r:id="rId4" w:type="default"/>
      <w:footerReference r:id="rId5" w:type="default"/>
      <w:pgSz w:w="11906" w:h="16838"/>
      <w:pgMar w:top="1962" w:right="1474" w:bottom="1848"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ind w:left="4788" w:leftChars="2280" w:firstLine="6400" w:firstLineChars="2000"/>
      <w:rPr>
        <w:rFonts w:eastAsia="仿宋"/>
        <w:sz w:val="32"/>
        <w:szCs w:val="48"/>
      </w:rPr>
    </w:pPr>
    <w:r>
      <w:rPr>
        <w:rFonts w:ascii="Calibri" w:hAnsi="Calibri" w:eastAsia="宋体" w:cs="黑体"/>
        <w:kern w:val="2"/>
        <w:sz w:val="32"/>
        <w:szCs w:val="24"/>
        <w:lang w:val="en-US" w:eastAsia="zh-CN" w:bidi="ar-SA"/>
      </w:rPr>
      <w:pict>
        <v:rect id="文本框 8" o:spid="_x0000_s1027" style="position:absolute;left:0;margin-top:0pt;height:144pt;width:144pt;mso-position-horizontal:outside;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rect>
      </w:pic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rFonts w:ascii="Calibri" w:hAnsi="Calibri" w:eastAsia="宋体" w:cs="黑体"/>
        <w:color w:val="FAFAFA"/>
        <w:kern w:val="2"/>
        <w:sz w:val="32"/>
        <w:szCs w:val="24"/>
        <w:lang w:val="en-US" w:eastAsia="zh-CN" w:bidi="ar-SA"/>
      </w:rPr>
      <w:pict>
        <v:line id="直接连接符 5" o:spid="_x0000_s1028" style="position:absolute;left:0;margin-left:0pt;margin-top:5.85pt;height:0.15pt;width:442.25pt;rotation:0f;z-index:251659264;" o:ole="f" fillcolor="#FFFFFF" filled="f" o:preferrelative="t" stroked="t" coordsize="21600,21600">
          <v:fill on="f" color2="#FFFFFF" focus="0%"/>
          <v:stroke weight="1.75pt" color="#005192" color2="#FFFFFF" miterlimit="2"/>
          <v:imagedata gain="65536f" blacklevel="0f" gamma="0"/>
          <o:lock v:ext="edit" position="f" selection="f" grouping="f" rotation="f" cropping="f" text="f" aspectratio="f"/>
        </v:line>
      </w:pict>
    </w:r>
    <w:r>
      <w:rPr>
        <w:rFonts w:hint="eastAsia" w:eastAsia="仿宋"/>
        <w:color w:val="FAFAFA"/>
        <w:sz w:val="32"/>
        <w:szCs w:val="48"/>
      </w:rPr>
      <w:t>X</w:t>
    </w:r>
    <w:r>
      <w:rPr>
        <w:rFonts w:hint="eastAsia" w:ascii="宋体" w:hAnsi="宋体" w:eastAsia="宋体" w:cs="宋体"/>
        <w:b/>
        <w:bCs/>
        <w:color w:val="005192"/>
        <w:sz w:val="28"/>
        <w:szCs w:val="44"/>
      </w:rPr>
      <w:t xml:space="preserve">陕西省人民政府发布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textAlignment w:val="center"/>
      <w:rPr>
        <w:rFonts w:ascii="宋体" w:hAnsi="宋体" w:eastAsia="宋体" w:cs="宋体"/>
        <w:b/>
        <w:bCs/>
        <w:color w:val="005192"/>
        <w:sz w:val="32"/>
      </w:rPr>
    </w:pPr>
    <w:r>
      <w:rPr>
        <w:rFonts w:hint="eastAsia" w:ascii="宋体" w:hAnsi="宋体" w:eastAsia="宋体" w:cs="宋体"/>
        <w:b/>
        <w:bCs/>
        <w:color w:val="005192"/>
        <w:kern w:val="2"/>
        <w:sz w:val="32"/>
        <w:szCs w:val="24"/>
        <w:lang w:val="en-US" w:eastAsia="zh-CN" w:bidi="ar-SA"/>
      </w:rPr>
      <w:pict>
        <v:line id="直接连接符 4" o:spid="_x0000_s1025" style="position:absolute;left:0;margin-left:-0.3pt;margin-top:54.35pt;height:0.05pt;width:442.55pt;rotation:0f;z-index:251658240;" o:ole="f" fillcolor="#FFFFFF" filled="f" o:preferrelative="t" stroked="t" coordsize="21600,21600">
          <v:fill on="f" color2="#FFFFFF" focus="0%"/>
          <v:stroke weight="1.75pt" color="#005192" color2="#FFFFFF" miterlimit="2"/>
          <v:imagedata gain="65536f" blacklevel="0f" gamma="0"/>
          <o:lock v:ext="edit" position="f" selection="f" grouping="f" rotation="f" cropping="f" text="f" aspectratio="f"/>
        </v:line>
      </w:pic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kern w:val="2"/>
        <w:sz w:val="32"/>
        <w:szCs w:val="24"/>
        <w:lang w:val="en-US" w:eastAsia="zh-CN" w:bidi="ar-SA"/>
      </w:rPr>
      <w:pict>
        <v:shape id="图片 11" o:spid="_x0000_s1026" type="#_x0000_t75" style="height:24.3pt;width:24.3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bookmarkStart w:id="0" w:name="_Hlk91518048"/>
    <w:r>
      <w:rPr>
        <w:rFonts w:hint="eastAsia" w:ascii="宋体" w:hAnsi="宋体" w:eastAsia="宋体" w:cs="宋体"/>
        <w:b/>
        <w:bCs/>
        <w:color w:val="005192"/>
        <w:sz w:val="32"/>
        <w:szCs w:val="32"/>
      </w:rPr>
      <w:t>陕西省人民政府</w:t>
    </w:r>
    <w:bookmarkEnd w:id="0"/>
    <w:r>
      <w:rPr>
        <w:rFonts w:hint="eastAsia" w:ascii="宋体" w:hAnsi="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102C8"/>
    <w:rsid w:val="00045270"/>
    <w:rsid w:val="00046993"/>
    <w:rsid w:val="000674F0"/>
    <w:rsid w:val="00082A6A"/>
    <w:rsid w:val="000C0D40"/>
    <w:rsid w:val="000C446F"/>
    <w:rsid w:val="000E01DF"/>
    <w:rsid w:val="000F0374"/>
    <w:rsid w:val="000F3B66"/>
    <w:rsid w:val="000F7E2E"/>
    <w:rsid w:val="00141111"/>
    <w:rsid w:val="00172A27"/>
    <w:rsid w:val="00196A77"/>
    <w:rsid w:val="001A3828"/>
    <w:rsid w:val="001C529D"/>
    <w:rsid w:val="002027B8"/>
    <w:rsid w:val="002108C8"/>
    <w:rsid w:val="0023005C"/>
    <w:rsid w:val="00240DFD"/>
    <w:rsid w:val="00245867"/>
    <w:rsid w:val="0024710B"/>
    <w:rsid w:val="00251E7D"/>
    <w:rsid w:val="00264F77"/>
    <w:rsid w:val="0027445A"/>
    <w:rsid w:val="002B5203"/>
    <w:rsid w:val="002D4311"/>
    <w:rsid w:val="002F08DA"/>
    <w:rsid w:val="00300A70"/>
    <w:rsid w:val="0030273D"/>
    <w:rsid w:val="003151B0"/>
    <w:rsid w:val="0036697B"/>
    <w:rsid w:val="0036781B"/>
    <w:rsid w:val="003A107A"/>
    <w:rsid w:val="003F2D22"/>
    <w:rsid w:val="004B05F0"/>
    <w:rsid w:val="004D5222"/>
    <w:rsid w:val="00551D1C"/>
    <w:rsid w:val="005704E2"/>
    <w:rsid w:val="0057521D"/>
    <w:rsid w:val="005767A1"/>
    <w:rsid w:val="005A7BF0"/>
    <w:rsid w:val="005E2D42"/>
    <w:rsid w:val="005F08CC"/>
    <w:rsid w:val="00602F3B"/>
    <w:rsid w:val="0060702A"/>
    <w:rsid w:val="0062602D"/>
    <w:rsid w:val="00641B22"/>
    <w:rsid w:val="00641F4E"/>
    <w:rsid w:val="00647BF9"/>
    <w:rsid w:val="006E48E1"/>
    <w:rsid w:val="00744087"/>
    <w:rsid w:val="00751763"/>
    <w:rsid w:val="00752648"/>
    <w:rsid w:val="00752757"/>
    <w:rsid w:val="00754135"/>
    <w:rsid w:val="0079152F"/>
    <w:rsid w:val="00794921"/>
    <w:rsid w:val="00796A26"/>
    <w:rsid w:val="007A7922"/>
    <w:rsid w:val="007B34F0"/>
    <w:rsid w:val="008024B3"/>
    <w:rsid w:val="00853A8A"/>
    <w:rsid w:val="00854687"/>
    <w:rsid w:val="00870B2B"/>
    <w:rsid w:val="00870E76"/>
    <w:rsid w:val="0087150A"/>
    <w:rsid w:val="008829E1"/>
    <w:rsid w:val="008876BC"/>
    <w:rsid w:val="00891B2B"/>
    <w:rsid w:val="008F3F5E"/>
    <w:rsid w:val="009013D3"/>
    <w:rsid w:val="0091694C"/>
    <w:rsid w:val="00924BEE"/>
    <w:rsid w:val="00936EFD"/>
    <w:rsid w:val="009549BB"/>
    <w:rsid w:val="00965949"/>
    <w:rsid w:val="009926B1"/>
    <w:rsid w:val="009A243B"/>
    <w:rsid w:val="009C4B74"/>
    <w:rsid w:val="00A01E13"/>
    <w:rsid w:val="00A056C3"/>
    <w:rsid w:val="00A05D64"/>
    <w:rsid w:val="00A13856"/>
    <w:rsid w:val="00A35990"/>
    <w:rsid w:val="00A364A1"/>
    <w:rsid w:val="00A57232"/>
    <w:rsid w:val="00A91971"/>
    <w:rsid w:val="00B05459"/>
    <w:rsid w:val="00B103B5"/>
    <w:rsid w:val="00B13B27"/>
    <w:rsid w:val="00B14E06"/>
    <w:rsid w:val="00B209BB"/>
    <w:rsid w:val="00B231C1"/>
    <w:rsid w:val="00B30642"/>
    <w:rsid w:val="00B55B17"/>
    <w:rsid w:val="00B71AAE"/>
    <w:rsid w:val="00B90F66"/>
    <w:rsid w:val="00BA2E94"/>
    <w:rsid w:val="00BD3B9A"/>
    <w:rsid w:val="00BF00B2"/>
    <w:rsid w:val="00C006C6"/>
    <w:rsid w:val="00C1088E"/>
    <w:rsid w:val="00C30BED"/>
    <w:rsid w:val="00C6303B"/>
    <w:rsid w:val="00C726B1"/>
    <w:rsid w:val="00CB0E04"/>
    <w:rsid w:val="00CC446A"/>
    <w:rsid w:val="00D16E56"/>
    <w:rsid w:val="00D232C0"/>
    <w:rsid w:val="00D628F6"/>
    <w:rsid w:val="00D639B0"/>
    <w:rsid w:val="00D64696"/>
    <w:rsid w:val="00D76B4C"/>
    <w:rsid w:val="00D9223D"/>
    <w:rsid w:val="00DC0158"/>
    <w:rsid w:val="00DE2CB3"/>
    <w:rsid w:val="00E3043B"/>
    <w:rsid w:val="00EA14FF"/>
    <w:rsid w:val="00EC1320"/>
    <w:rsid w:val="00EC515C"/>
    <w:rsid w:val="00F114E6"/>
    <w:rsid w:val="00F36366"/>
    <w:rsid w:val="00F47E97"/>
    <w:rsid w:val="00F644B8"/>
    <w:rsid w:val="00F67BBB"/>
    <w:rsid w:val="00F806C1"/>
    <w:rsid w:val="00F90DAF"/>
    <w:rsid w:val="00FD5B8A"/>
    <w:rsid w:val="00FD65DD"/>
    <w:rsid w:val="019E71BD"/>
    <w:rsid w:val="04B679C3"/>
    <w:rsid w:val="080F63D8"/>
    <w:rsid w:val="09341458"/>
    <w:rsid w:val="0B0912D7"/>
    <w:rsid w:val="10C404BE"/>
    <w:rsid w:val="12F43137"/>
    <w:rsid w:val="12F91317"/>
    <w:rsid w:val="152D2DCA"/>
    <w:rsid w:val="1BB57558"/>
    <w:rsid w:val="1DEC284C"/>
    <w:rsid w:val="1E6523AC"/>
    <w:rsid w:val="21F727BD"/>
    <w:rsid w:val="22440422"/>
    <w:rsid w:val="240F7F39"/>
    <w:rsid w:val="2F332DE3"/>
    <w:rsid w:val="31A15F24"/>
    <w:rsid w:val="36EA1A6A"/>
    <w:rsid w:val="395347B5"/>
    <w:rsid w:val="39A232A0"/>
    <w:rsid w:val="39E745AA"/>
    <w:rsid w:val="3B5A6BBB"/>
    <w:rsid w:val="3EDA13A6"/>
    <w:rsid w:val="401120A3"/>
    <w:rsid w:val="42F058B7"/>
    <w:rsid w:val="436109F6"/>
    <w:rsid w:val="441A38D4"/>
    <w:rsid w:val="472072B5"/>
    <w:rsid w:val="4BC77339"/>
    <w:rsid w:val="4C9236C5"/>
    <w:rsid w:val="505C172E"/>
    <w:rsid w:val="512E60BF"/>
    <w:rsid w:val="52F46F0B"/>
    <w:rsid w:val="53D8014D"/>
    <w:rsid w:val="55E064E0"/>
    <w:rsid w:val="572C6D10"/>
    <w:rsid w:val="58103B1D"/>
    <w:rsid w:val="5DC34279"/>
    <w:rsid w:val="608816D1"/>
    <w:rsid w:val="60EF4E7F"/>
    <w:rsid w:val="63AD0B2F"/>
    <w:rsid w:val="665233C1"/>
    <w:rsid w:val="6AD9688B"/>
    <w:rsid w:val="6D0E3F22"/>
    <w:rsid w:val="74E87824"/>
    <w:rsid w:val="771445FA"/>
    <w:rsid w:val="79527EC9"/>
    <w:rsid w:val="7C9011D9"/>
    <w:rsid w:val="7DC651C5"/>
    <w:rsid w:val="7FCC2834"/>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12"/>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unhideWhenUsed/>
    <w:uiPriority w:val="1"/>
  </w:style>
  <w:style w:type="table" w:default="1" w:styleId="10">
    <w:name w:val="Normal Table"/>
    <w:unhideWhenUsed/>
    <w:uiPriority w:val="99"/>
    <w:tblPr>
      <w:tblStyle w:val="10"/>
      <w:tblLayout w:type="fixed"/>
      <w:tblCellMar>
        <w:top w:w="0" w:type="dxa"/>
        <w:left w:w="108" w:type="dxa"/>
        <w:bottom w:w="0" w:type="dxa"/>
        <w:right w:w="108" w:type="dxa"/>
      </w:tblCellMar>
    </w:tblPr>
    <w:tcPr>
      <w:textDirection w:val="lrTb"/>
    </w:tc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Strong"/>
    <w:basedOn w:val="7"/>
    <w:qFormat/>
    <w:uiPriority w:val="22"/>
    <w:rPr>
      <w:b/>
    </w:rPr>
  </w:style>
  <w:style w:type="character" w:styleId="9">
    <w:name w:val="annotation reference"/>
    <w:basedOn w:val="7"/>
    <w:uiPriority w:val="0"/>
    <w:rPr>
      <w:sz w:val="21"/>
      <w:szCs w:val="21"/>
    </w:rPr>
  </w:style>
  <w:style w:type="paragraph" w:customStyle="1" w:styleId="11">
    <w:name w:val="List Paragraph"/>
    <w:basedOn w:val="1"/>
    <w:uiPriority w:val="99"/>
    <w:pPr>
      <w:ind w:firstLine="420" w:firstLineChars="200"/>
    </w:pPr>
  </w:style>
  <w:style w:type="character" w:customStyle="1" w:styleId="12">
    <w:name w:val="标题 1 字符"/>
    <w:basedOn w:val="7"/>
    <w:link w:val="2"/>
    <w:uiPriority w:val="0"/>
    <w:rPr>
      <w:rFonts w:ascii="宋体" w:hAnsi="宋体"/>
      <w:b/>
      <w:bCs/>
      <w:kern w:val="44"/>
      <w:sz w:val="48"/>
      <w:szCs w:val="4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7" textRotate="1"/>
    <customShpInfo spid="_x0000_s102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4099</Words>
  <Characters>4165</Characters>
  <Lines>15</Lines>
  <Paragraphs>4</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2021-12-28T06:59:00Z</dcterms:created>
  <dc:creator>t</dc:creator>
  <cp:lastModifiedBy>dm</cp:lastModifiedBy>
  <cp:lastPrinted>2021-12-28T07:02:00Z</cp:lastPrinted>
  <dcterms:modified xsi:type="dcterms:W3CDTF">2022-08-10T04:08:36Z</dcterms:modified>
  <dc:title>陕西省人民政府办公厅关于</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48C61CB29D3F4D9384F5922CF0F7FFB4</vt:lpwstr>
  </property>
</Properties>
</file>