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580" w:type="dxa"/>
        <w:tblInd w:w="93" w:type="dxa"/>
        <w:tblLayout w:type="fixed"/>
        <w:tblCellMar>
          <w:top w:w="0" w:type="dxa"/>
          <w:left w:w="108" w:type="dxa"/>
          <w:bottom w:w="0" w:type="dxa"/>
          <w:right w:w="108" w:type="dxa"/>
        </w:tblCellMar>
      </w:tblPr>
      <w:tblGrid>
        <w:gridCol w:w="1420"/>
        <w:gridCol w:w="1620"/>
        <w:gridCol w:w="6620"/>
        <w:gridCol w:w="4100"/>
        <w:gridCol w:w="820"/>
      </w:tblGrid>
      <w:tr>
        <w:tblPrEx>
          <w:tblLayout w:type="fixed"/>
          <w:tblCellMar>
            <w:top w:w="0" w:type="dxa"/>
            <w:left w:w="108" w:type="dxa"/>
            <w:bottom w:w="0" w:type="dxa"/>
            <w:right w:w="108" w:type="dxa"/>
          </w:tblCellMar>
        </w:tblPrEx>
        <w:trPr>
          <w:trHeight w:val="679" w:hRule="atLeast"/>
        </w:trPr>
        <w:tc>
          <w:tcPr>
            <w:tcW w:w="1420" w:type="dxa"/>
            <w:tcBorders>
              <w:top w:val="nil"/>
              <w:left w:val="nil"/>
              <w:bottom w:val="nil"/>
              <w:right w:val="nil"/>
            </w:tcBorders>
            <w:shd w:val="clear" w:color="auto" w:fill="auto"/>
            <w:vAlign w:val="center"/>
          </w:tcPr>
          <w:p>
            <w:pPr>
              <w:widowControl/>
              <w:jc w:val="left"/>
              <w:rPr>
                <w:rFonts w:ascii="黑体" w:hAnsi="黑体" w:eastAsia="黑体" w:cs="宋体"/>
                <w:kern w:val="0"/>
                <w:sz w:val="32"/>
                <w:szCs w:val="32"/>
              </w:rPr>
            </w:pPr>
            <w:r>
              <w:rPr>
                <w:rFonts w:hint="eastAsia" w:ascii="黑体" w:hAnsi="黑体" w:eastAsia="黑体" w:cs="宋体"/>
                <w:kern w:val="0"/>
                <w:sz w:val="32"/>
                <w:szCs w:val="32"/>
              </w:rPr>
              <w:t>附件1</w:t>
            </w:r>
          </w:p>
        </w:tc>
        <w:tc>
          <w:tcPr>
            <w:tcW w:w="1620"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p>
        </w:tc>
        <w:tc>
          <w:tcPr>
            <w:tcW w:w="6620" w:type="dxa"/>
            <w:tcBorders>
              <w:top w:val="nil"/>
              <w:left w:val="nil"/>
              <w:bottom w:val="nil"/>
              <w:right w:val="nil"/>
            </w:tcBorders>
            <w:shd w:val="clear" w:color="auto" w:fill="auto"/>
            <w:vAlign w:val="center"/>
          </w:tcPr>
          <w:p>
            <w:pPr>
              <w:widowControl/>
              <w:rPr>
                <w:rFonts w:ascii="仿宋_GB2312" w:hAnsi="宋体" w:eastAsia="仿宋_GB2312" w:cs="宋体"/>
                <w:kern w:val="0"/>
                <w:sz w:val="28"/>
                <w:szCs w:val="28"/>
              </w:rPr>
            </w:pPr>
          </w:p>
        </w:tc>
        <w:tc>
          <w:tcPr>
            <w:tcW w:w="4100"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p>
        </w:tc>
        <w:tc>
          <w:tcPr>
            <w:tcW w:w="820"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39" w:hRule="atLeast"/>
        </w:trPr>
        <w:tc>
          <w:tcPr>
            <w:tcW w:w="14580" w:type="dxa"/>
            <w:gridSpan w:val="5"/>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kern w:val="0"/>
                <w:sz w:val="42"/>
                <w:szCs w:val="42"/>
              </w:rPr>
            </w:pPr>
            <w:r>
              <w:rPr>
                <w:rFonts w:hint="eastAsia" w:ascii="方正小标宋简体" w:hAnsi="宋体" w:eastAsia="方正小标宋简体" w:cs="宋体"/>
                <w:kern w:val="0"/>
                <w:sz w:val="42"/>
                <w:szCs w:val="42"/>
              </w:rPr>
              <w:t>2018年第二批中央财政支持开展居家和社区养老服务改革试点工作考核评分表</w:t>
            </w:r>
          </w:p>
        </w:tc>
      </w:tr>
      <w:tr>
        <w:tblPrEx>
          <w:tblLayout w:type="fixed"/>
          <w:tblCellMar>
            <w:top w:w="0" w:type="dxa"/>
            <w:left w:w="108" w:type="dxa"/>
            <w:bottom w:w="0" w:type="dxa"/>
            <w:right w:w="108" w:type="dxa"/>
          </w:tblCellMar>
        </w:tblPrEx>
        <w:trPr>
          <w:trHeight w:val="900" w:hRule="atLeast"/>
        </w:trPr>
        <w:tc>
          <w:tcPr>
            <w:tcW w:w="14580" w:type="dxa"/>
            <w:gridSpan w:val="5"/>
            <w:tcBorders>
              <w:top w:val="nil"/>
              <w:left w:val="nil"/>
              <w:bottom w:val="nil"/>
              <w:right w:val="nil"/>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试点地区：</w:t>
            </w:r>
            <w:r>
              <w:rPr>
                <w:rFonts w:hint="eastAsia" w:ascii="宋体" w:hAnsi="宋体" w:cs="宋体"/>
                <w:kern w:val="0"/>
                <w:sz w:val="28"/>
                <w:szCs w:val="28"/>
                <w:u w:val="single"/>
              </w:rPr>
              <w:t xml:space="preserve">      </w:t>
            </w:r>
            <w:r>
              <w:rPr>
                <w:rFonts w:hint="eastAsia" w:ascii="宋体" w:hAnsi="宋体" w:cs="宋体"/>
                <w:kern w:val="0"/>
                <w:sz w:val="28"/>
                <w:szCs w:val="28"/>
              </w:rPr>
              <w:t>省（区、市）</w:t>
            </w:r>
            <w:r>
              <w:rPr>
                <w:rFonts w:hint="eastAsia" w:ascii="宋体" w:hAnsi="宋体" w:cs="宋体"/>
                <w:kern w:val="0"/>
                <w:sz w:val="28"/>
                <w:szCs w:val="28"/>
                <w:u w:val="single"/>
              </w:rPr>
              <w:t xml:space="preserve">      </w:t>
            </w:r>
            <w:r>
              <w:rPr>
                <w:rFonts w:hint="eastAsia" w:ascii="宋体" w:hAnsi="宋体" w:cs="宋体"/>
                <w:kern w:val="0"/>
                <w:sz w:val="28"/>
                <w:szCs w:val="28"/>
              </w:rPr>
              <w:t>市                                   填表时间：2018年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tc>
      </w:tr>
      <w:tr>
        <w:tblPrEx>
          <w:tblLayout w:type="fixed"/>
          <w:tblCellMar>
            <w:top w:w="0" w:type="dxa"/>
            <w:left w:w="108" w:type="dxa"/>
            <w:bottom w:w="0" w:type="dxa"/>
            <w:right w:w="108" w:type="dxa"/>
          </w:tblCellMar>
        </w:tblPrEx>
        <w:trPr>
          <w:trHeight w:val="702"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考核内容</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考核指标</w:t>
            </w:r>
          </w:p>
        </w:tc>
        <w:tc>
          <w:tcPr>
            <w:tcW w:w="6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评分标准及分值</w:t>
            </w:r>
          </w:p>
        </w:tc>
        <w:tc>
          <w:tcPr>
            <w:tcW w:w="4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评分依据</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得分</w:t>
            </w:r>
          </w:p>
        </w:tc>
      </w:tr>
      <w:tr>
        <w:tblPrEx>
          <w:tblLayout w:type="fixed"/>
          <w:tblCellMar>
            <w:top w:w="0" w:type="dxa"/>
            <w:left w:w="108" w:type="dxa"/>
            <w:bottom w:w="0" w:type="dxa"/>
            <w:right w:w="108" w:type="dxa"/>
          </w:tblCellMar>
        </w:tblPrEx>
        <w:trPr>
          <w:trHeight w:val="702" w:hRule="atLeast"/>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 工作基础（20分）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1.1 试点工作领导机构情况（2分）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1.1.1 领导小组已召开居家和社区养老服务改革试点专题会议，得1分；未召开，得0分。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有关文件或会议纪要</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01"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1.1.2 试点地区所在省份对试点地区开展了督促指导工作，得1分；未督查，得0分。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有关会议纪要</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98"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1.2 政策出台情况（8分）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1.2.1 已制定出台扶持社会力量参与居家和社区养老服务的优惠政策，得4分；正在研究制定相关政策，得2分；未研究起草，得0分。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已制定出台的，提供政策文件（包括改革试点之前出台的）；正在研究制定的，提供政策文件征求意见稿</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3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1.2.2 已制定出台增加居家和社区养老服务设施的扶持政策和管理制度，得4分；正在研究制定相关政策，得2分；未研究起草，得0分。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已制定出台的，提供政策文件（包括改革试点之前出台的）；正在研究制定的，提供政策文件征求意见稿</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2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1.3 资金使用情况（8分）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1.3.1 已明确了中央财政补助资金具体使用项目及执行进度方案，得1分；未明确，得0分。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有关文件材料</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3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1.3.2 2018年7月底前，中央财政补助资金的执行进度（已拨付至试点地区所辖区县）达50％及以上，得4分；执行进度低于50%但达30％及以上，得2分；低于30％，得0分。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补助资金拨付凭证</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19"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-2010410</wp:posOffset>
                      </wp:positionH>
                      <wp:positionV relativeFrom="paragraph">
                        <wp:posOffset>-4445</wp:posOffset>
                      </wp:positionV>
                      <wp:extent cx="928751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9287510"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8.3pt;margin-top:-0.35pt;height:0pt;width:731.3pt;z-index:251662336;mso-width-relative:page;mso-height-relative:page;" filled="f" stroked="t" coordsize="21600,21600" o:gfxdata="UEsDBAoAAAAAAIdO4kAAAAAAAAAAAAAAAAAEAAAAZHJzL1BLAwQUAAAACACHTuJAJbyOYdgAAAAJ&#10;AQAADwAAAGRycy9kb3ducmV2LnhtbE2PMU/DMBCFdyT+g3VIbK2TgkIV4nSIQGIAVS1lYHPiI4lq&#10;n6PYTdt/z5WlbHf3nt59r1idnBUTjqH3pCCdJyCQGm96ahXsPl9nSxAhajLaekIFZwywKm9vCp0b&#10;f6QNTtvYCg6hkGsFXYxDLmVoOnQ6zP2AxNqPH52OvI6tNKM+crizcpEkmXS6J/7Q6QGrDpv99uAU&#10;+A+3Pu8W03u6efsO9b76ql6WVqn7uzR5BhHxFK9muOAzOpTMVPsDmSCsgtlDmmXs5ekJxMWQPmbc&#10;rv47yLKQ/xuUv1BLAwQUAAAACACHTuJA/cPWWuMBAACeAwAADgAAAGRycy9lMm9Eb2MueG1srVNL&#10;jhMxEN0jcQfLe9JJlIGhlc4sEoYNgkjAASq2u9uSf3KZdHIJLoDEClgBq9lzGhiOQdnJZPhsEKIX&#10;7rKr6lW95/L8YmcN26qI2ruGT0ZjzpQTXmrXNfzli8t755xhAifBeKcavlfILxZ378yHUKup772R&#10;KjICcVgPoeF9SqGuKhS9soAjH5QjZ+ujhUTb2FUywkDo1lTT8fh+NfgoQ/RCIdLp6uDki4Lftkqk&#10;Z22LKjHTcOotlTWWdZPXajGHuosQei2ObcA/dGFBOyp6glpBAvYq6j+grBbRo2/TSHhb+bbVQhUO&#10;xGYy/o3N8x6CKlxIHAwnmfD/wYqn23VkWjZ8ypkDS1d0/ebq2+v3158/fX139f3L22x//MCmWaoh&#10;YE0ZS7eOxx2Gdcy8d220+U+M2K7Iuz/Jq3aJCTp8OD1/cDahWxA3vuo2MURMj5W3LBsNxxRBd31a&#10;eufoEn2cFHlh+wQTlabEm4Rc1Tg2NHw2m50RONAYtQYSmTYQMXRdyUVvtLzUxuQMjN1maSLbQh6M&#10;8mWChPtLWC6yAuwPccV1GJlegXzkJEv7QJI5mm2eW7BKcmYUPYVsESDUCbT5m0gqbRx1kDU+qJqt&#10;jZf7InY5pyEoPR4HNk/Zz/uSffus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byOYdgAAAAJ&#10;AQAADwAAAAAAAAABACAAAAAiAAAAZHJzL2Rvd25yZXYueG1sUEsBAhQAFAAAAAgAh07iQP3D1lrj&#10;AQAAngMAAA4AAAAAAAAAAQAgAAAAJwEAAGRycy9lMm9Eb2MueG1sUEsFBgAAAAAGAAYAWQEAAHwF&#10;AAAAAA==&#10;">
                      <v:fill on="f" focussize="0,0"/>
                      <v:stroke weight="0.35pt" color="#000000" joinstyle="round"/>
                      <v:imagedata o:title=""/>
                      <o:lock v:ext="edit" aspectratio="f"/>
                    </v:shape>
                  </w:pict>
                </mc:Fallback>
              </mc:AlternateContent>
            </w:r>
            <w:r>
              <w:rPr>
                <w:rFonts w:hint="eastAsia" w:ascii="宋体" w:hAnsi="宋体" w:cs="宋体"/>
                <w:kern w:val="0"/>
                <w:sz w:val="24"/>
              </w:rPr>
              <w:t>1.3.3 省级及以下安排的配套资金达到或超出中央财政补助资金，得3分；低于中央财政补助资金，得2分；未安排资金，得0分。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资金安排相关文件</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9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1.4 资金管理情况（2分）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1.4.1 已制定中央财政补助资金的使用管理办法，得2分；正在研究制定，得1分；未研究起草，得0分。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已制定出台的，提供政策文件（包括改革试点之前出台的）；正在研究制定的，提供政策文件征求意见稿</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841"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2. 工作任务清单对比情况（6分）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2.1 任务清单对比情况（6分）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2.1.1 试点地区的2018年度工作任务清单和进度与报送的2018年工作计划内容相符，进度合理的，得6分；2018年度工作任务清单和进度与报送的2018年工作计划内容相符，进度偏慢的，得3分；2018年度工作任务清单和进度比报送的2018年工作计划内容减少，且进度偏慢的，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试点工作进展自评表</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771" w:hRule="atLeast"/>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 工作任务清单完成情况（64分)</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3.1 建立居家和社区基本养老服务项目清单制度（8分）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3.1.1 已建立居家和社区基本养老服务清单制度，明确政府保障、补助对象及服务项目，并有专门服务目录，得8分；已探索建立居家和社区基本养老服务清单制度，没有专门服务目录，但是明确了服务范围和类别，得4分；未建立，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居家和社区基本养老服务目录或服务范围等有关文件材料</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73"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3.2 社会力量参与居家和社区养老服务情况（8分）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3.2.1 已引进品牌化、连锁化、专业化的居家和社区养老服务机构，得4分；正在推动培育和引进，得2分；未启动，得0分。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品牌化、连锁化机构名单（连锁化机构指的是在同一地区有3家以上机构）</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399"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3.2.2 2018年新增、独立建设的居家和社区养老服务设施交由社会力量运营的比例达40％及以上，得4分；低于40%但达20%及以上，得2分；20%以下，得0分。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试点地区2018年新增设施中交由社会力量运营的设施名单（设施名单需标注运营方信息和运营方联系方式）                        </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37"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-982980</wp:posOffset>
                      </wp:positionH>
                      <wp:positionV relativeFrom="paragraph">
                        <wp:posOffset>-3175</wp:posOffset>
                      </wp:positionV>
                      <wp:extent cx="92608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9260840"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4pt;margin-top:-0.25pt;height:0pt;width:729.2pt;z-index:251663360;mso-width-relative:page;mso-height-relative:page;" filled="f" stroked="t" coordsize="21600,21600" o:gfxdata="UEsDBAoAAAAAAIdO4kAAAAAAAAAAAAAAAAAEAAAAZHJzL1BLAwQUAAAACACHTuJAZ598QNgAAAAJ&#10;AQAADwAAAGRycy9kb3ducmV2LnhtbE2PMW/CMBCF90r8B+uQuoEdKAiFOAwRSB1aVVA6dHPiI4mw&#10;z1FsAvz7mi7tdvfu6b3vss3NGjZg71tHEpKpAIZUOd1SLeH4uZusgPmgSCvjCCXc0cMmHz1lKtXu&#10;SnscDqFmMYR8qiQ0IXQp575q0Co/dR1SvJ1cb1WIa19z3atrDLeGz4RYcqtaig2N6rBosDofLlaC&#10;e7cf9+NseEv2r9++PBdfxXZlpHweJ2INLOAt/JnhgR/RIY9MpbuQ9sxImCSLl8ge4rQA9jDMxXwJ&#10;rPwVeJ7x/x/kP1BLAwQUAAAACACHTuJAY4dzYeIBAACeAwAADgAAAGRycy9lMm9Eb2MueG1srVNL&#10;jhMxEN0jcQfLe9JJFEZDK51ZJAwbBJGAA1Rsd7cl/+Qy6eQSXACJFbACVrOf08BwDMpOJsNngxC9&#10;cJddrlf1XpXnFztr2FZF1N41fDIac6ac8FK7ruGvXl4+OOcMEzgJxjvV8L1CfrG4f28+hFpNfe+N&#10;VJERiMN6CA3vUwp1VaHolQUc+aAcOVsfLSTaxq6SEQZCt6aajsdn1eCjDNELhUinq4OTLwp+2yqR&#10;nrctqsRMw6m2VNZY1k1eq8Uc6i5C6LU4lgH/UIUF7SjpCWoFCdjrqP+AslpEj75NI+Ft5dtWC1U4&#10;EJvJ+Dc2L3oIqnAhcTCcZML/ByuebdeRaUm948yBpRbdvL369ubDzZfPX99ffb9+l+1PH9kkSzUE&#10;rCli6dbxuMOwjpn3ro02/4kR2xV59yd51S4xQYePpmfj8xl1Qdz6qrvAEDE9Ud6ybDQcUwTd9Wnp&#10;naMm+jgp8sL2KSZKTYG3ATmrcWxo+Gw2e0jgQGPUGkhk2kDE0HUlFr3R8lIbkyMwdpuliWwLeTDK&#10;lwkS7i/XcpIVYH+4V1yHkekVyMdOsrQPJJmj2ea5BKskZ0bRU8gWAUKdQJu/uUmpjaMKssYHVbO1&#10;8XJfxC7nNASlxuPA5in7eV+i757V4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n3xA2AAAAAkB&#10;AAAPAAAAAAAAAAEAIAAAACIAAABkcnMvZG93bnJldi54bWxQSwECFAAUAAAACACHTuJAY4dzYeIB&#10;AACeAwAADgAAAAAAAAABACAAAAAnAQAAZHJzL2Uyb0RvYy54bWxQSwUGAAAAAAYABgBZAQAAewUA&#10;AAAA&#10;">
                      <v:fill on="f" focussize="0,0"/>
                      <v:stroke weight="0.35pt" color="#000000" joinstyle="round"/>
                      <v:imagedata o:title=""/>
                      <o:lock v:ext="edit" aspectratio="f"/>
                    </v:shape>
                  </w:pict>
                </mc:Fallback>
              </mc:AlternateContent>
            </w:r>
            <w:r>
              <w:rPr>
                <w:rFonts w:hint="eastAsia" w:ascii="宋体" w:hAnsi="宋体" w:cs="宋体"/>
                <w:kern w:val="0"/>
                <w:sz w:val="24"/>
              </w:rPr>
              <w:t>3.3 建立居家和社区养老服务信息平台 （8分）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3.3.1 已利用社区服务热线或网络平台，汇总公布试点地区居家和社区养老服务机构信息，得4分；未开展，得0分。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试点地区建立的服务热线或网络平台及平台中的服务机构或组织信息介绍</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9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3.3.2 已建立了居家和社区养老应急服务网络（如开设平安钟、一键通等方式），得2分；未开展，得0分。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试点地区居家和社区有关应急服务网络</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176"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3.3.3 社会力量在服务管理中已开发居家和社区养老服务相关信息产品、工具，得2分；未开展，得0分。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社会力量提供养老服务中的有关信息产品和工具</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302" w:hRule="atLeast"/>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 工作任务清单完成情况（64分)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3.4 居家和社区养老服务人才队伍建设工作 </w:t>
            </w:r>
            <w:r>
              <w:rPr>
                <w:rFonts w:hint="eastAsia" w:ascii="宋体" w:hAnsi="宋体" w:cs="宋体"/>
                <w:kern w:val="0"/>
                <w:sz w:val="24"/>
              </w:rPr>
              <w:br w:type="textWrapping"/>
            </w:r>
            <w:r>
              <w:rPr>
                <w:rFonts w:hint="eastAsia" w:ascii="宋体" w:hAnsi="宋体" w:cs="宋体"/>
                <w:kern w:val="0"/>
                <w:sz w:val="24"/>
              </w:rPr>
              <w:t>（8分）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3.4.1 已开展居家和社区养老服务管理人员、护理服务人员的专业培训和面向家庭照护者等其他服务人员的指导培训，得2分；未开展，得0分。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有关培训记录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0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3.4.2 已制定出台了居家和社区养老服务人才扶持政策，得4分；正在研究制定相关政策，得2分；未研究起草，得0分。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已制定出台的，提供政策文件（包括改革试点之前出台的）；正在研究制定的，提供政策文件征求意见稿</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55"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3.4.3 组织各类志愿者开展居家和社区养老服务，得2分；未开展，得0分。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有关志愿者服务记录及文件材料</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58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3.5 居家和社区养老服务与医疗卫生服务相结合（8分）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3.5.1 已为社区高龄、重病、失能、部分失能以及计划生育特殊困难家庭等行动不便或确有困难的老年人提供有针对性的医疗服务，得2分；未开展，得0分。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开展服务的有关文件规定，服务记录等</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0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-2000250</wp:posOffset>
                      </wp:positionH>
                      <wp:positionV relativeFrom="paragraph">
                        <wp:posOffset>-5715</wp:posOffset>
                      </wp:positionV>
                      <wp:extent cx="926084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9260840"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7.5pt;margin-top:-0.45pt;height:0pt;width:729.2pt;z-index:251664384;mso-width-relative:page;mso-height-relative:page;" filled="f" stroked="t" coordsize="21600,21600" o:gfxdata="UEsDBAoAAAAAAIdO4kAAAAAAAAAAAAAAAAAEAAAAZHJzL1BLAwQUAAAACACHTuJARnKrXtkAAAAJ&#10;AQAADwAAAGRycy9kb3ducmV2LnhtbE2PMW/CMBCF90r8B+sqsYFjoBVN4zBEIHVoVUFhYHPiaxJh&#10;n6PYBPj3NV3a7e7e07vvZaurNWzA3reOJIhpAgypcrqlWsL+azNZAvNBkVbGEUq4oYdVPnrIVKrd&#10;hbY47ELNYgj5VEloQuhSzn3VoFV+6jqkqH273qoQ177muleXGG4NnyXJM7eqpfihUR0WDVan3dlK&#10;cB/287afDe9i+3b05ak4FOulkXL8KJJXYAGv4c8Md/yIDnlkKt2ZtGdGwmQunmKZEKcXYHeDWMwX&#10;wMrfA88z/r9B/gNQSwMEFAAAAAgAh07iQOqvRI3jAQAAngMAAA4AAABkcnMvZTJvRG9jLnhtbK1T&#10;S44TMRDdI3EHy3vSSSaMhlY6s0gYNghGAg5Qsd3dlvyTy6STS3ABJFbACmY1e04DwzEoO5kMnw1C&#10;9MJddlW9qvdcnp9vrWEbFVF71/DJaMyZcsJL7bqGv3p58eCMM0zgJBjvVMN3Cvn54v69+RBqNfW9&#10;N1JFRiAO6yE0vE8p1FWFolcWcOSDcuRsfbSQaBu7SkYYCN2aajoen1aDjzJELxQina72Tr4o+G2r&#10;RHretqgSMw2n3lJZY1nXea0Wc6i7CKHX4tAG/EMXFrSjokeoFSRgr6P+A8pqET36No2Et5VvWy1U&#10;4UBsJuPf2LzoIajChcTBcJQJ/x+seLa5jEzLhp9w5sDSFd28vf725sPN1eev76+/f3mX7U8f2UmW&#10;aghYU8bSXcbDDsNlzLy3bbT5T4zYtsi7O8qrtokJOnw0PR2fzegWxK2vuksMEdMT5S3LRsMxRdBd&#10;n5beObpEHydFXtg8xUSlKfE2IVc1jg0Nn81mDwkcaIxaA4lMG4gYuq7kojdaXmhjcgbGbr00kW0g&#10;D0b5MkHC/SUsF1kB9vu44tqPTK9APnaSpV0gyRzNNs8tWCU5M4qeQrYIEOoE2vxNJJU2jjrIGu9V&#10;zdbay10Ru5zTEJQeDwObp+znfcm+e1a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Zyq17ZAAAA&#10;CQEAAA8AAAAAAAAAAQAgAAAAIgAAAGRycy9kb3ducmV2LnhtbFBLAQIUABQAAAAIAIdO4kDqr0SN&#10;4wEAAJ4DAAAOAAAAAAAAAAEAIAAAACgBAABkcnMvZTJvRG9jLnhtbFBLBQYAAAAABgAGAFkBAAB9&#10;BQAAAAA=&#10;">
                      <v:fill on="f" focussize="0,0"/>
                      <v:stroke weight="0.35pt" color="#000000" joinstyle="round"/>
                      <v:imagedata o:title=""/>
                      <o:lock v:ext="edit" aspectratio="f"/>
                    </v:shape>
                  </w:pict>
                </mc:Fallback>
              </mc:AlternateContent>
            </w:r>
            <w:r>
              <w:rPr>
                <w:rFonts w:hint="eastAsia" w:ascii="宋体" w:hAnsi="宋体" w:cs="宋体"/>
                <w:kern w:val="0"/>
                <w:sz w:val="24"/>
              </w:rPr>
              <w:t>3.5.2 社区养老服务机构与基层医疗卫生机构签约服务率大于或等于30％，得4分；低于30%但大于或等于15%，得3分；低于15%，得2分；未开展，得0分。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签约服务记录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99"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3.5.3 已开展基层医疗卫生机构与老年人家庭建立签约服务关系，为老年人提供持续的健康管理服务和医疗服务，得2分；未开展，得0分。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签约服务记录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645"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3.6 居家和社区养老服务标准化、规范化</w:t>
            </w:r>
            <w:r>
              <w:rPr>
                <w:rFonts w:hint="eastAsia" w:ascii="宋体" w:hAnsi="宋体" w:cs="宋体"/>
                <w:kern w:val="0"/>
                <w:sz w:val="24"/>
              </w:rPr>
              <w:br w:type="textWrapping"/>
            </w:r>
            <w:r>
              <w:rPr>
                <w:rFonts w:hint="eastAsia" w:ascii="宋体" w:hAnsi="宋体" w:cs="宋体"/>
                <w:kern w:val="0"/>
                <w:sz w:val="24"/>
              </w:rPr>
              <w:t>（4分）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3.6.1 已启动《社区老年人日间照料中心服务基本要求》（GB/T 33168 2016）和《社区老年人日间照料中心设施设备配置》（GB/T 33169 2016）或相关地方标准、行业标准贯彻落实工作，得4分；未启动，得0分。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贯彻落实有关标准的文件、制定的相关标准、开展的培训记录等材料</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89" w:hRule="atLeast"/>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 工作任务清单完成情况（64分)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3.7 居家和社区养老服务设施整合、改造和建设工作（12分）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3.7.1 已对全市居家和社区养老服务设施进行摸底统计，得3分；未完成，得0分。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试点地区服务设施统计表和服务设施清单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857"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3.7.2 已开展新建居住小区居家和社区养老服务设施与住宅配套建设，或整合改造闲置社会资源用于居家和社区养老服务工作（包括政府通过租赁等方式无偿或低偿提供居家和社区养老服务设施），得3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关于居家和社区服务设施配套建设、验收、移交和管理等具体规定的文件材料；试点地区整合改造闲置资源用于居家和社区养老服务的设施清单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0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3.7.3 50%及以上的公办养老机构开展了向居家和社区养老延伸服务，得4分；已开展，但比例低于50%，得2分；没有开展，得0分。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公办养老机构名单及开展延伸服务的公办养老机构名单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200"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-1993900</wp:posOffset>
                      </wp:positionH>
                      <wp:positionV relativeFrom="paragraph">
                        <wp:posOffset>5715</wp:posOffset>
                      </wp:positionV>
                      <wp:extent cx="926020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9260205"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7pt;margin-top:0.45pt;height:0pt;width:729.15pt;z-index:251665408;mso-width-relative:page;mso-height-relative:page;" filled="f" stroked="t" coordsize="21600,21600" o:gfxdata="UEsDBAoAAAAAAIdO4kAAAAAAAAAAAAAAAAAEAAAAZHJzL1BLAwQUAAAACACHTuJANKvQxdcAAAAH&#10;AQAADwAAAGRycy9kb3ducmV2LnhtbE2PMW/CMBSE90r8B+tV6gaOIapoGocholKHVghKh25O/JpE&#10;2M9RbAL8+zoTHU93uvsu31ytYSMOvnMkQSwSYEi10x01Eo5fb/M1MB8UaWUcoYQbetgUs4dcZdpd&#10;aI/jITQslpDPlIQ2hD7j3NctWuUXrkeK3q8brApRDg3Xg7rEcmv4MkmeuVUdxYVW9Vi2WJ8OZyvB&#10;fdrd7bgcP8T+/cdXp/K73K6NlE+PInkFFvAa7mGY8CM6FJGpcmfSnhkJ85VI45kg4QXY5Is0XQGr&#10;Js2LnP/nL/4AUEsDBBQAAAAIAIdO4kD3bWlC4QEAAJ4DAAAOAAAAZHJzL2Uyb0RvYy54bWytU0uO&#10;EzEQ3SNxB8t70p0ojKCVziwShg2CkYADVGx3tyX/5DLp5BJcAIkVsAJWs+c0MByDspPJ8NkgRC/c&#10;ZVfVq3rP5cX5zhq2VRG1dy2fTmrOlBNeate3/OWLi3sPOMMEToLxTrV8r5CfL+/eWYyhUTM/eCNV&#10;ZATisBlDy4eUQlNVKAZlASc+KEfOzkcLibaxr2SEkdCtqWZ1fVaNPsoQvVCIdLo+OPmy4HedEulZ&#10;16FKzLScektljWXd5LVaLqDpI4RBi2Mb8A9dWNCOip6g1pCAvYr6DyirRfTouzQR3la+67RQhQOx&#10;mda/sXk+QFCFC4mD4SQT/j9Y8XR7GZmWLZ9z5sDSFV2/ufr2+v31509f3119//I22x8/sHmWagzY&#10;UMbKXcbjDsNlzLx3XbT5T4zYrsi7P8mrdokJOnw4O6tn9X3OxI2vuk0MEdNj5S3LRssxRdD9kFbe&#10;ObpEH6dFXtg+wUSlKfEmIVc1jo3EYD7P4EBj1BlIZNpAxND1JRe90fJCG5MzMPablYlsC3kwypcJ&#10;Eu4vYbnIGnA4xBXXYWQGBfKRkyztA0nmaLZ5bsEqyZlR9BSyRYDQJNDmbyKptHHUQdb4oGq2Nl7u&#10;i9jlnIag9Hgc2DxlP+9L9u2zW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KvQxdcAAAAHAQAA&#10;DwAAAAAAAAABACAAAAAiAAAAZHJzL2Rvd25yZXYueG1sUEsBAhQAFAAAAAgAh07iQPdtaULhAQAA&#10;ngMAAA4AAAAAAAAAAQAgAAAAJgEAAGRycy9lMm9Eb2MueG1sUEsFBgAAAAAGAAYAWQEAAHkFAAAA&#10;AA==&#10;">
                      <v:fill on="f" focussize="0,0"/>
                      <v:stroke weight="0.35pt" color="#000000" joinstyle="round"/>
                      <v:imagedata o:title=""/>
                      <o:lock v:ext="edit" aspectratio="f"/>
                    </v:shape>
                  </w:pict>
                </mc:Fallback>
              </mc:AlternateContent>
            </w:r>
            <w:r>
              <w:rPr>
                <w:rFonts w:hint="eastAsia" w:ascii="宋体" w:hAnsi="宋体" w:cs="宋体"/>
                <w:kern w:val="0"/>
                <w:sz w:val="24"/>
              </w:rPr>
              <w:t>3.7.4 开展试点以来，城市居家和社区养老服务设施覆盖率提高10%及以上，且有效运营三个月以上，得1分；农村居家和社区养老服务设施覆盖率提高10%及以上，且有效运营三个月以上，得1分；没有提高10%，或设施未能有效运营，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有效运营的居家和社区养老服务设施名单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3.8 农村居家和社区养老服务 （8分）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3.8.1 已制定专门支持农村养老服务发展的政策，得2分；未制定，得0分。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有关政策文件</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3.8.2 已建立农村空巢（独居、留守）老年人的定期巡访制度，得2分；未开展，得0分。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建立巡访制度的有关文件材料</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3.8.3 2个及以上农村敬老院等农村养老服务设施发展成为区域性养老服务中心，得2分；1个，得1分；没有的，得0分。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有关文件材料，区域性养老服务中心名单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702"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3.8.4 已安排专项资金用于农村居家和社区养老服务，得2分；未安排，得0分。</w:t>
            </w:r>
          </w:p>
        </w:tc>
        <w:tc>
          <w:tcPr>
            <w:tcW w:w="4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资金安排记录</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490" w:hRule="atLeast"/>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4.其他创新（10分）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4.其他创新 （10分）</w:t>
            </w: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4.1 某项创新性工作解决了全国性难题、填补全国空白，能够在全国推广经验，得6分；解决了本省份难题、填补本省份空白，能够在所在省份推广经验，得4分；解决了本地区难题、填补本地区空白，能够在所在试点地区推广经验，得2分。</w:t>
            </w:r>
          </w:p>
        </w:tc>
        <w:tc>
          <w:tcPr>
            <w:tcW w:w="41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创新工作说明及相关文件材料</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6"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4.2 ………………</w:t>
            </w:r>
          </w:p>
        </w:tc>
        <w:tc>
          <w:tcPr>
            <w:tcW w:w="4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79" w:hRule="atLeast"/>
        </w:trPr>
        <w:tc>
          <w:tcPr>
            <w:tcW w:w="1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1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p>
        </w:tc>
        <w:tc>
          <w:tcPr>
            <w:tcW w:w="662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ascii="宋体" w:hAnsi="宋体" w:cs="宋体"/>
                <w:kern w:val="0"/>
                <w:sz w:val="24"/>
              </w:rPr>
              <w:t>4.3 ………………</w:t>
            </w:r>
          </w:p>
        </w:tc>
        <w:tc>
          <w:tcPr>
            <w:tcW w:w="4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86"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综合得分</w:t>
            </w:r>
          </w:p>
        </w:tc>
        <w:tc>
          <w:tcPr>
            <w:tcW w:w="13160"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r>
              <w:rPr>
                <w:rFonts w:hint="eastAsia" w:ascii="宋体" w:hAnsi="宋体" w:cs="宋体"/>
                <w:b/>
                <w:bCs/>
                <w:kern w:val="0"/>
                <w:sz w:val="24"/>
              </w:rPr>
              <w:t>　</w:t>
            </w:r>
          </w:p>
        </w:tc>
      </w:tr>
      <w:tr>
        <w:tblPrEx>
          <w:tblLayout w:type="fixed"/>
          <w:tblCellMar>
            <w:top w:w="0" w:type="dxa"/>
            <w:left w:w="108" w:type="dxa"/>
            <w:bottom w:w="0" w:type="dxa"/>
            <w:right w:w="108" w:type="dxa"/>
          </w:tblCellMar>
        </w:tblPrEx>
        <w:trPr>
          <w:trHeight w:val="1080" w:hRule="atLeast"/>
        </w:trPr>
        <w:tc>
          <w:tcPr>
            <w:tcW w:w="14580" w:type="dxa"/>
            <w:gridSpan w:val="5"/>
            <w:tcBorders>
              <w:top w:val="nil"/>
              <w:left w:val="nil"/>
              <w:bottom w:val="nil"/>
              <w:right w:val="nil"/>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 xml:space="preserve">                              考核组组长签字：               考核组成员签字：     </w:t>
            </w:r>
          </w:p>
          <w:p>
            <w:pPr>
              <w:widowControl/>
              <w:jc w:val="center"/>
              <w:rPr>
                <w:rFonts w:ascii="宋体" w:hAnsi="宋体" w:cs="宋体"/>
                <w:kern w:val="0"/>
                <w:sz w:val="24"/>
              </w:rPr>
            </w:pPr>
            <w:r>
              <w:rPr>
                <w:rFonts w:hint="eastAsia" w:ascii="宋体" w:hAnsi="宋体" w:cs="宋体"/>
                <w:kern w:val="0"/>
                <w:sz w:val="24"/>
              </w:rPr>
              <w:t xml:space="preserve">  </w:t>
            </w:r>
          </w:p>
        </w:tc>
      </w:tr>
      <w:tr>
        <w:tblPrEx>
          <w:tblLayout w:type="fixed"/>
          <w:tblCellMar>
            <w:top w:w="0" w:type="dxa"/>
            <w:left w:w="108" w:type="dxa"/>
            <w:bottom w:w="0" w:type="dxa"/>
            <w:right w:w="108" w:type="dxa"/>
          </w:tblCellMar>
        </w:tblPrEx>
        <w:trPr>
          <w:trHeight w:val="420" w:hRule="atLeast"/>
        </w:trPr>
        <w:tc>
          <w:tcPr>
            <w:tcW w:w="14580" w:type="dxa"/>
            <w:gridSpan w:val="5"/>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考核填表说明：</w:t>
            </w:r>
          </w:p>
        </w:tc>
      </w:tr>
      <w:tr>
        <w:tblPrEx>
          <w:tblLayout w:type="fixed"/>
          <w:tblCellMar>
            <w:top w:w="0" w:type="dxa"/>
            <w:left w:w="108" w:type="dxa"/>
            <w:bottom w:w="0" w:type="dxa"/>
            <w:right w:w="108" w:type="dxa"/>
          </w:tblCellMar>
        </w:tblPrEx>
        <w:trPr>
          <w:trHeight w:val="600" w:hRule="atLeast"/>
        </w:trPr>
        <w:tc>
          <w:tcPr>
            <w:tcW w:w="14580" w:type="dxa"/>
            <w:gridSpan w:val="5"/>
            <w:tcBorders>
              <w:top w:val="nil"/>
              <w:left w:val="nil"/>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相关材料及数据的截止时点为2018年7月31日。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81E44"/>
    <w:rsid w:val="5E081E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character" w:styleId="4">
    <w:name w:val="page number"/>
    <w:basedOn w:val="3"/>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2018-09-28T06:08:00Z</dcterms:created>
  <dc:creator>小娟</dc:creator>
  <cp:lastModifiedBy>小娟</cp:lastModifiedBy>
  <dcterms:modified xsi:type="dcterms:W3CDTF">2018-09-28T06:09:30Z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