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重庆市万州区发展和改革委员会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重庆市万州区经济和信息委员会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重庆市万州区民政局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重庆市万州区文化和旅游发展委员会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重庆市万州区卫生健康委员会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关于印发</w:t>
      </w:r>
      <w:r>
        <w:rPr>
          <w:rFonts w:hint="eastAsia" w:ascii="Times New Roman" w:hAnsi="Times New Roman" w:eastAsia="方正小标宋_GBK" w:cs="方正小标宋_GBK"/>
          <w:bCs/>
          <w:kern w:val="2"/>
          <w:sz w:val="44"/>
          <w:szCs w:val="44"/>
        </w:rPr>
        <w:t>《</w:t>
      </w:r>
      <w:r>
        <w:rPr>
          <w:rFonts w:hint="eastAsia" w:ascii="Times New Roman" w:hAnsi="Times New Roman" w:eastAsia="方正小标宋_GBK" w:cs="方正小标宋_GBK"/>
          <w:bCs/>
          <w:kern w:val="2"/>
          <w:sz w:val="44"/>
          <w:szCs w:val="44"/>
          <w:lang w:eastAsia="zh-CN"/>
        </w:rPr>
        <w:t>万州区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促进银发经济发展增进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老年人福祉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 w:bidi="ar"/>
        </w:rPr>
        <w:t>行动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方案</w:t>
      </w:r>
      <w:r>
        <w:rPr>
          <w:rFonts w:hint="eastAsia" w:ascii="Times New Roman" w:hAnsi="Times New Roman" w:eastAsia="方正小标宋_GBK" w:cs="方正小标宋_GBK"/>
          <w:bCs/>
          <w:kern w:val="2"/>
          <w:sz w:val="44"/>
          <w:szCs w:val="44"/>
        </w:rPr>
        <w:t>》</w:t>
      </w: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发改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万州经开区办公室，区政府相关部门，有关单位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《万州区促进银发经济发展增进老年人福祉行动方案》已经区政府同意，现印发给你们，请认真贯彻执行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17"/>
          <w:sz w:val="32"/>
          <w:szCs w:val="32"/>
          <w:lang w:eastAsia="zh-CN"/>
        </w:rPr>
        <w:t>重庆市万州区发展和改革委员会  重庆市万州区经济和信息化委员会</w:t>
      </w:r>
      <w:r>
        <w:rPr>
          <w:rFonts w:hint="eastAsia" w:ascii="Times New Roman" w:hAnsi="Times New Roman" w:eastAsia="方正仿宋_GBK" w:cs="Times New Roman"/>
          <w:color w:val="auto"/>
          <w:spacing w:val="-17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-11"/>
          <w:sz w:val="32"/>
          <w:szCs w:val="32"/>
          <w:lang w:eastAsia="zh-CN"/>
        </w:rPr>
        <w:t xml:space="preserve">重庆市万州区民政局 </w:t>
      </w:r>
      <w:r>
        <w:rPr>
          <w:rFonts w:hint="eastAsia" w:ascii="Times New Roman" w:hAnsi="Times New Roman" w:eastAsia="方正仿宋_GBK" w:cs="Times New Roman"/>
          <w:color w:val="auto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pacing w:val="-11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-11"/>
          <w:sz w:val="32"/>
          <w:szCs w:val="32"/>
          <w:lang w:eastAsia="zh-CN"/>
        </w:rPr>
        <w:t xml:space="preserve"> 重庆市万州区文化和旅游发展委员会</w:t>
      </w:r>
      <w:r>
        <w:rPr>
          <w:rFonts w:hint="eastAsia" w:ascii="Times New Roman" w:hAnsi="Times New Roman" w:eastAsia="方正仿宋_GBK" w:cs="Times New Roman"/>
          <w:color w:val="auto"/>
          <w:spacing w:val="-11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重庆市万州区卫生健康委员会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2024年12月31日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万州区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促进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银发经济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发展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增进老年人福祉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行动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为积极应对人口老龄化，培育经济发展新动能，提高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人民生活品质，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根据重庆市发展改革委等五部门联合印发的《重庆市促进银发经济发展增进老年人福祉工作实施方案》（渝发改规范〔2024〕9号），结合我区实际，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制定本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行动方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总体要求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以习近平新时代中国特色社会主义思想为指导，深入贯彻党的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二十大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和二十届二中、三中全会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精神，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坚持以人民为中心的发展思想，认真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积极应对人口老龄化国家战略，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坚持尽力而为、量力而行，推动有效市场和有为政府更好结合，促进事业产业协同，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加快银发经济规模化、标准化、集群化、品牌化发展，培育高精尖产品和高品质服务模式，让老年人共享发展成果、安享幸福晚年，不断实现人民对美好生活的向往。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2027年，全区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老年人消费需求进一步有效释放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，形成一批具有较强带动作用的产业集群，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市场规模持续扩大，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探索形成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银发经济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产业园区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基本规划布局，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成为经济增长的重要动力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基本建成居家社区机构相协调、医养康养相结合的养老服务体系，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养老服务床位数达到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万张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，养老床位利用率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明显提升；支持银发经济发展的政策协同性显著增强，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群众参与银发经济发展的积极性明显提升，老年友好型社会基本建成。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任务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（一）开展服务兜底行动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</w:rPr>
        <w:t>，解决急难愁盼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拓展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助老服务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探索“社区+物业+养老服务”模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式，支持物业企业与社区养老机构合作提供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助餐、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助浴、助洁、助急、照料看护等服务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鼓励家政企业与养老机构合作，发展多业态居家养老上门服务。开展家庭照护培训，探索设立“家庭照护床位”。建立居家探访制度，加强特殊困难居家老年人定期探访与帮扶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。鼓励零售服务商、社会工作服务机构等拓展助老服务功能，提供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紧急呼叫、远程医疗、物品代购、代收代缴、挂号取药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等服务。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民政局、区商务委、区卫生健康委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发展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老年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便民服务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。聚焦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打造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一刻钟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便民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生活圈，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改造一批社区便民消费服务中心等设施，鼓励商场、超市等开设老年专区或便捷窗口。推进完整社区建设，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社区嵌入式服务设施，推动物流配送、智能快递柜、蔬菜直通车等进社区。鼓励家政、养老企业进社区，提供适合老年群体个性化商品和服务。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2027年，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建成3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以上优质便民生活圈，建设5个以上社区嵌入式服务设施。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区商务委、</w:t>
      </w:r>
      <w:r>
        <w:rPr>
          <w:rFonts w:hint="default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民政局、区住房城乡建委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优化老年健康服务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。推动老年医院建设，强化社区医养结合服务能力提升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2027年，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建成老年医院1个、社区（乡镇）医养中心3个。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加强综合医院老年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学科建设，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二级以上综合性医院老年医学科设立比例达到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。稳步扩大安宁疗护试点，全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安宁疗护床位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张以上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营造老年人就医友好环境，老年友善医疗机构比例达到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扩大家庭医生签约服务覆盖面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，65岁以上老年人家庭医生签约覆盖率达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强化老年人中医药健康管理，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二级及以上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中医医院设置康复科的比例不低于85%，65岁以上老年人中医药健康管理率75%以上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，持续提升老年人中医药健康管理水平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区卫生健康委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完善养老照护服务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发挥万州区第九特困人员供养服务设施等作用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，提升失能老年人照护服务能力，适当增设认知障碍老年人照护专区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2027年，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养老机构护理型养老床位占比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5%。推动医疗卫生机构与养老机构毗邻建设、资源共享。建立居家、社区、机构养老之间的服务转介衔接机制。鼓励社会资本适度发展高端养老机构，推动养老服务品牌化、连锁化发展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民政局、区卫生健康委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丰富老年文体服务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支持引导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重庆市万州老年大学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提档升级，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发展城乡社区老年教育，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有条件的学校举办老年大学或学习点，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依托国家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、市级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老年教育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资源共享和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公共服务平台，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完善万州区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老年教育资源库和师资库。统筹完善各类公共文化设施，设置老年人文化、健身、交流场所。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培养服务老年人的基层文体骨干，提高老年人文体活动参与率和质量。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支持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发展老年人体育协会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组织开展各类适合老年人的体育赛事活动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2027年，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经常参加体育锻炼的老年人比例达到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55%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</w:t>
      </w:r>
      <w:r>
        <w:rPr>
          <w:rFonts w:hint="eastAsia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区民政局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、区文化旅游委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提升农村养老服务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。探索建立养老志愿服务激励与评价机制，开展农村互助式养老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，鼓励引导低龄健康老年人为高龄老年人提供邻里关爱、定期探访等服务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提升农村养老兜底保障能力，支持有条件的乡镇敬老院改造提升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支持符合条件的乡镇敬老院公建民营，提供居家养老等拓展服务。到2027年，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二星级以上乡镇敬老院比例达到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鼓励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社会力量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探索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“公司（社会组织）+农户+合作社”经营模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发展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生态田园型、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乡村旅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度假型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养老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，丰富农村养老服务业态。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民政局、区农业农村委、区文化旅游委、区卫生健康委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7.开展老年人权益保障服务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加强市场监管，打击欺诈和不正当竞争行为，保护老年人的合法权益。广泛开展老年人识骗防骗宣传教育活动，持续开展养老诈骗犯罪专项打击整治，严厉打击侵害老年人合法权益的违法犯罪行为。强化信用监管，依法依规从严惩处医养服务机构欺老、虐老等侵害老年人合法权益的行为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公安局、区市场监管局、区卫生健康委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（二）开展供给扩容行动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，提升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产品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质量水平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培育银发经济经营主体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。发挥国有企业引领示范作用，鼓励和引导国有企业结合主责主业积极拓展银发经济相关业务。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引导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国有企业发展布局银发经济相关产业，或提供场地设施用于养老服务。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大力支持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民营经济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，完善政企沟通联系机制，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严厉打击违背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市场准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入行为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，推动银发经济政策、资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、信息等直达快享。推动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与银发经济相关的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中小企业梯度成长，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支持传统银发企业转型高新技术企业和科技型企业，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培育一批专精特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新“小巨人”企业和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制造业单项冠军企业。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产业链供应链合作伙伴计划，促进各类企业协同发展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经济信息委、区发展改革委、</w:t>
      </w:r>
      <w:r>
        <w:rPr>
          <w:rFonts w:hint="eastAsia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区民政局、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区国资委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推进银发经济产业集群发展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积极承接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东部沿海产业转移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，争取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在万州经开区规划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谋划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布局“银发经济”产业区，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推动康复辅助器具等产业落地，引进适老化产品生产销售企业，引导现有企业结合实际开发功能性老年服饰、鞋帽产品，鼓励研发适合老年人咀嚼吞咽和营养要求的保健食品、特殊医学用配方食品。依托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万州综合保税区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探索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推进银发经济领域跨区域、国际性合作。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万州经开区创新发展局、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万州经开区投资促进局、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经济信息委、区卫生健康委、</w:t>
      </w:r>
      <w:r>
        <w:rPr>
          <w:rFonts w:hint="eastAsia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区民政局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打造银发经济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品牌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。鼓励企业和行业协会，培育打造行业品牌、区域品牌和集群品牌。依托中国品牌日、全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国“质量月”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、全国知识产权宣传周等活动，积极开展银发经济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相关产品、政策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宣传。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用好中国（重庆）国际老年产业博览会等展会平台，展示推介银发经济前沿技术和产品服务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，举办产业对接等活动。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经济信息委、</w:t>
      </w:r>
      <w:r>
        <w:rPr>
          <w:rFonts w:hint="eastAsia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区市场监管局、区商务委、区民政局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繁荣银发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消费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。鼓励行业协会、企业结合春节、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重阳节等传统节日以及“敬老月”等活动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举办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银发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主题购物节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、银发经济展会等活动，活跃老年消费氛围。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支持家居卖场、电商平台设立老年用品销售专区专柜，丰富家居消费场景。鼓励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在交通出行、社交通讯、生活购物、金融医疗、电子游戏等领域，开展适老化改造，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打造一批老年人特色消费场景，充分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释放老年人消费潜力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商务委、区卫生健康委、区民政局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（三）开展产业培育行动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满足多样消费需求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强化老年用品创新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广泛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开发满足老年人衣、食、住、行等特殊性需求的老年生活用品，推动认知障碍评估、精神沟通训练等健康促进类产业发展。鼓励研发适合老年人咀嚼吞咽和营养要求的保健食品、特殊医学用配方食品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，支持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培育老年方便营养食品产业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实施推进家居产业高质量发展行动，重点开发应用适老化日用产品和老年休闲陪护产品。支持围绕照护需求，发展清洁卫生、生活护理等适老产品。引导车辆生产企业研发符合国家技术标准、适应老年人无障碍出行需求的车型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经济信息委、</w:t>
      </w:r>
      <w:r>
        <w:rPr>
          <w:rFonts w:hint="eastAsia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区民政局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打造智慧健康养老新业态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智慧健康养老产品及服务推广目录，加快推广社区居家互动式智慧健康养老平台应用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。鼓励引导企业申报重庆市智慧养老应用试点示范，争取创建一批示范企业、示范街道（乡镇）、示范基地等。探索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新一代信息技术以及移动终端、可穿戴设备、服务机器人等智能设备在居家、社区、机构等养老场景集成应用，发展健康管理类、养老监护类、心理慰藉类智能产品，推广应用护理机器人、家庭服务、防走失终端等智能设备。鼓励利用虚拟现实等技术，开展老年用品和服务展示体验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经济信息委、区卫生健康委、区民政局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发展康复辅助器具产业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支持有条件的企业开发智能助听器、仿生假肢、智能电动轮椅等功能代偿类康复辅助器具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推动技术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创新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，重点扶持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D打印、新材料等中高端领域、具有自主知识产权的康复辅助器具产品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推动“医工结合”，支持人工智能、虚拟现实等新技术集成应用，支持研发仿生假肢、认知障碍评估训练、虚拟现实康复训练设备等产品。支持传统中医康复技术、方法创新研究，形成和推广一批疗效确切、特色突出的中医康复辅助器具。探索开展康复辅助器具销售和社区租赁，形成康复辅助器具服务网络。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经济信息委、区卫生健康委、</w:t>
      </w:r>
      <w:r>
        <w:rPr>
          <w:rFonts w:hint="eastAsia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区民政局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2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探索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发展抗衰老产业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围绕抗体、重组蛋白及偶联药物、多肽药物、细胞基因治疗药物等重点领域加大创新投入，发展抗衰老产品。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推动基因检测、分子诊断等生物技术与延缓老年病深度融合，开发老年病早期筛查产品和服务。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促进前沿医疗技术转化与临床应用。发展美丽健康产业，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探索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建设医疗美容专业研究型病房，加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快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医疗美容新药、新器械及新技术临床应用。鼓励企业基于生物工程学、皮肤科学等，推进化妆品原料创新研发及应用。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经济信息委、</w:t>
      </w:r>
      <w:r>
        <w:rPr>
          <w:rFonts w:hint="eastAsia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区民政局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、区卫生健康委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2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丰富发展养老金融产品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积极推广个人养老金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推进专属商业养老保险发展。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加大对养老产业链的信贷支持，推动金融资源向养老服务、老年产品、老年文娱等倾斜。鼓励金融机构提升养老财富规划能力，合理提供储蓄、理财等金融产品，更好满足养老财富管理需要。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积极发展商业医疗保险和商业长期护理保险，开展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寿险责任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与长期护理保险责任转换业务试点工作。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大力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推广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老年人意外伤害综合保险，提高全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老年人抗风险能力。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国家金融监督管理总局万州监管分局</w:t>
      </w:r>
      <w:r>
        <w:rPr>
          <w:rFonts w:hint="eastAsia" w:eastAsia="方正楷体_GBK" w:cs="Times New Roman"/>
          <w:color w:val="auto"/>
          <w:sz w:val="32"/>
          <w:szCs w:val="32"/>
          <w:lang w:eastAsia="zh-CN"/>
        </w:rPr>
        <w:t>、中国人民银行万州分行、</w:t>
      </w:r>
      <w:r>
        <w:rPr>
          <w:rFonts w:hint="eastAsia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区民政局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2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拓展旅游服务业态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。依托恒合旅游度假区、太安凤凰花果山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等优质资源，因地制宜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打造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一批森林康养、避暑康养、中医药康养等康养旅游基地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扩展老年医疗旅游、观光旅游、乡村旅游等新业态，推广怀旧游、青春游等主题产品。推动旅游景区完善无障碍服务基础设施，开发特色旅游产品，打造老年休闲旅游度假目的地。鼓励旅游企业依托线下门店、线上平台，创新开发更多适合老年人的旅游产品，打造特色专属运营模式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完善老少同乐、家庭友好的酒店、民宿等服务设施，鼓励开发家庭同游旅游产品。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文化旅游委、</w:t>
      </w:r>
      <w:r>
        <w:rPr>
          <w:rFonts w:hint="eastAsia" w:eastAsia="方正楷体_GBK" w:cs="Times New Roman"/>
          <w:color w:val="auto"/>
          <w:sz w:val="32"/>
          <w:szCs w:val="32"/>
          <w:lang w:eastAsia="zh-CN"/>
        </w:rPr>
        <w:t>区卫生健康委、</w:t>
      </w:r>
      <w:r>
        <w:rPr>
          <w:rFonts w:hint="eastAsia" w:ascii="Times New Roman" w:hAnsi="Times New Roman" w:eastAsia="方正楷体_GBK" w:cs="Times New Roman"/>
          <w:strike w:val="0"/>
          <w:color w:val="auto"/>
          <w:sz w:val="32"/>
          <w:szCs w:val="32"/>
          <w:lang w:eastAsia="zh-CN"/>
        </w:rPr>
        <w:t>区民政局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推进适老化改造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有序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推进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公共服务环境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无障碍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和适老化改造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推进无障碍社区建设，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每年收集需求，动态实施一批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困难老年人家庭适老化改造，支持具备条件的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老旧小区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加装电梯。开展数字适老化能力提升工程，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实施“智慧助老”行动，保留高频服务事项线下服务渠道并向基层延伸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。推动老年食品、药品、用品等的说明书和宣传材料适老化。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民政局</w:t>
      </w:r>
      <w:r>
        <w:rPr>
          <w:rFonts w:hint="eastAsia" w:ascii="Times New Roman" w:hAnsi="Times New Roman" w:eastAsia="方正楷体_GBK" w:cs="Times New Roman"/>
          <w:strike w:val="0"/>
          <w:dstrike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区住房城乡建委、区大数据发展局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三、强化要素保障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加强科技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eastAsia="zh-CN"/>
        </w:rPr>
        <w:t>创新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应用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。围绕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老年设备用品、老年共性疾病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、智慧健康养老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、抗衰老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等领域，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  <w:t>鼓励争取资金开展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银发经济领域科研活动，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  <w:t>引导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企业、高校、医疗机构等创新主体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  <w:t>开展相关技术攻关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提高自主研发水平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积极争取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产业高质量发展、战略性新兴产业发展等专项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银发经济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科技局、区经济信息委、区卫生健康委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完善用地用房保障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。科学编制供地计划，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设施和银发经济产业用地需求。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养老新建居住区按照人均用地不少于0.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平方米的标准分区分级规划设置社区养老服务设施，老旧小区要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按实际情况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补足配齐。在确保安全的前提下，支持利用闲置商业、办公、工业、仓储等存量场所改建养老服务设施。经规划实施评估论证的存量空间，可依法适当增加容积率，完善城市服务功能。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规划自然资源局、区住房城乡建委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强化财政金融支持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用足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用好中央预算内投资、地方政府专项债券、超长期特别国债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、市基建统筹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等资金，支持符合条件的银发经济项目建设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。用好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普惠养老专项再贷款，符合条件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，按照市场化原则提供信贷支持。发挥福利彩票公益金引导作用，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福彩公益金用于养老服务体系建设不低于60%。落实落细支持养老服务发展的税收优惠和费用减免政策。落实养老服务用电、用水、用气享受居民价格政策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财政局、区发展改革委、</w:t>
      </w:r>
      <w:r>
        <w:rPr>
          <w:rFonts w:hint="eastAsia" w:eastAsia="方正楷体_GBK" w:cs="Times New Roman"/>
          <w:color w:val="auto"/>
          <w:sz w:val="32"/>
          <w:szCs w:val="32"/>
          <w:lang w:eastAsia="zh-CN"/>
        </w:rPr>
        <w:t>中国人民银行万州分行、万州区税务局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推进人才队伍建设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。支持和引导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在万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高校、职业院校结合自身优势和社会需求增设银发经济相关专业，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培养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老年学、药学、养老服务、健康服务、护理等专业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人才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。鼓励开展养老护理等职业技能等级培训及评价，支持校企合作共建产教融合实训基地。涵养老年人力资源，鼓励退休医务工作者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、低龄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老年人参与文明实践、公益慈善、志愿服务、科教文卫等事业。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区教委、区民政局、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人力社保局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健全数据要素支撑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。建立银发经济领域数据有序开放和合理开发利用机制，统筹政务和社会数据资源，加强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与上级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层面养老相关数据共享，推动数据要素赋能产业发展。依法规范智能化产品和服务中的个人信息收集、使用等活动，加强技术监测和监督检查，做好安全防护和风险控制。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单位：区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大数据发展局、区人力社保局、区民政局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、加强组织实施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（一）加强组织领导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。建立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级工作专班，加强统筹协调和督促指导。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发展改革委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、区经济信息委、区民政局、区文化旅游委、区卫生健康委等区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级相关部门建立工作协调机制，加强政策协同，及时协同解决工作中遇到的问题，抓好各项任务落实。鼓励依法依规成立银发经济领域社会组织，深化产业研究、资源整合、行业自律。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（二）加强评价监测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。建立健全银发经济发展评价体系，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不定期开展专项调度及工作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评估。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区级各部门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要压实工作责任，健全完善目标责任体系，加强督促检查，形成系统集成、精准施策、闭环管理的工作机制。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同时区级各部门要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强化对银发经济重点领域、重点区域的动态监测，适时对执行情况进行评估。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（三）加强宣传引导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。充分发挥新闻媒体的舆论导向作用，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利用政府门户网站、微信公众号等方式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多渠道开展政策宣传解读，进一步提高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银发经济的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社会关注度和认知度。积极培育银发经济发展典型案例、创新实践和重要成果，及时宣传典型做法和案例，营造良好社会氛围。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headerReference r:id="rId5" w:type="default"/>
      <w:footerReference r:id="rId6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汉仪君黑-35简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重庆市万州区发展和改革委员会发布</w:t>
    </w:r>
  </w:p>
  <w:p>
    <w:pPr>
      <w:pStyle w:val="7"/>
      <w:wordWrap w:val="0"/>
      <w:ind w:left="4788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3360;mso-width-relative:page;mso-height-relative:page;" filled="f" stroked="t" coordsize="21600,21600" o:gfxdata="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tyYMd9QAAAAJAQAADwAA&#10;AAAAAAABACAAAAA4AAAAZHJzL2Rvd25yZXYueG1sUEsBAhQAFAAAAAgAh07iQIbMdmTLAQAAZgMA&#10;AA4AAAAAAAAAAQAgAAAAOQEAAGRycy9lMm9Eb2MueG1sUEsFBgAAAAAGAAYAWQEAAHY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重庆市万州区发展和改革委员会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NxHk&#10;rNQAAAAIAQAADwAAAAAAAAABACAAAAA4AAAAZHJzL2Rvd25yZXYueG1sUEsBAhQAFAAAAAgAh07i&#10;QOPuMRnXAQAAbwMAAA4AAAAAAAAAAQAgAAAAOQEAAGRycy9lMm9Eb2MueG1sUEsFBgAAAAAGAAYA&#10;WQEAAII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重庆市万州区发展和改革委员会行政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2336;mso-width-relative:page;mso-height-relative:page;" filled="f" stroked="t" coordsize="21600,21600" o:gfxdata="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i&#10;+WKB1QAAAAgBAAAPAAAAAAAAAAEAIAAAADgAAABkcnMvZG93bnJldi54bWxQSwECFAAUAAAACACH&#10;TuJABbCb69gBAABvAwAADgAAAAAAAAABACAAAAA6AQAAZHJzL2Uyb0RvYy54bWxQSwUGAAAAAAYA&#10;BgBZAQAAh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重庆市万州区发展和改革委员会行政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1E445A3"/>
    <w:rsid w:val="52F46F0B"/>
    <w:rsid w:val="532B6A10"/>
    <w:rsid w:val="539E4E99"/>
    <w:rsid w:val="53D8014D"/>
    <w:rsid w:val="550C209A"/>
    <w:rsid w:val="55E064E0"/>
    <w:rsid w:val="572C6D10"/>
    <w:rsid w:val="57C3494E"/>
    <w:rsid w:val="5CBD5B3E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DFFF32BB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/>
      <w:spacing w:after="120" w:line="240" w:lineRule="auto"/>
      <w:textAlignment w:val="auto"/>
    </w:pPr>
    <w:rPr>
      <w:rFonts w:ascii="Times New Roman" w:hAnsi="Times New Roman" w:eastAsia="宋体" w:cs="Times New Roman"/>
      <w:kern w:val="2"/>
      <w:sz w:val="32"/>
      <w:szCs w:val="32"/>
    </w:rPr>
  </w:style>
  <w:style w:type="paragraph" w:customStyle="1" w:styleId="3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6112</Words>
  <Characters>6195</Characters>
  <Lines>1</Lines>
  <Paragraphs>1</Paragraphs>
  <TotalTime>5</TotalTime>
  <ScaleCrop>false</ScaleCrop>
  <LinksUpToDate>false</LinksUpToDate>
  <CharactersWithSpaces>6212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晏涛</cp:lastModifiedBy>
  <cp:lastPrinted>2022-06-07T00:09:00Z</cp:lastPrinted>
  <dcterms:modified xsi:type="dcterms:W3CDTF">2025-05-29T10:40:44Z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7CE92C08EA904E7FA17D56F48875E216</vt:lpwstr>
  </property>
</Properties>
</file>