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CA7D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FF0000"/>
          <w:sz w:val="32"/>
          <w:szCs w:val="32"/>
          <w:lang w:val="en-US" w:eastAsia="zh-CN"/>
        </w:rPr>
      </w:pPr>
      <mc:AlternateContent>
        <mc:Choice Requires="wpsCustomData">
          <wpsCustomData:docfieldStart id="0" docfieldname="密级和年限" hidden="0" print="1" readonly="0" index="1"/>
        </mc:Choice>
      </mc:AlternateContent>
      <mc:AlternateContent>
        <mc:Choice Requires="wpsCustomData">
          <wpsCustomData:docfieldEnd id="0"/>
        </mc:Choice>
      </mc:AlternateContent>
      <mc:AlternateContent>
        <mc:Choice Requires="wpsCustomData">
          <wpsCustomData:docfieldStart id="1" docfieldname="紧急程度" hidden="0" print="1" readonly="0" index="2"/>
        </mc:Choice>
      </mc:AlternateContent>
      <mc:AlternateContent>
        <mc:Choice Requires="wpsCustomData">
          <wpsCustomData:docfieldEnd id="1"/>
        </mc:Choice>
      </mc:AlternateContent>
      <w:bookmarkStart w:id="0" w:name="密级和年限"/>
      <w:bookmarkEnd w:id="0"/>
      <w:bookmarkStart w:id="1" w:name="紧急程度"/>
      <w:bookmarkEnd w:id="1"/>
      <w:bookmarkStart w:id="4" w:name="_GoBack"/>
      <w:bookmarkEnd w:id="4"/>
      <w:r>
        <w:rPr>
          <w:sz w:val="32"/>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127000</wp:posOffset>
                </wp:positionV>
                <wp:extent cx="5615940" cy="1873885"/>
                <wp:effectExtent l="0" t="0" r="0" b="0"/>
                <wp:wrapNone/>
                <wp:docPr id="3" name="组合 24"/>
                <wp:cNvGraphicFramePr/>
                <a:graphic xmlns:a="http://schemas.openxmlformats.org/drawingml/2006/main">
                  <a:graphicData uri="http://schemas.microsoft.com/office/word/2010/wordprocessingGroup">
                    <wpg:wgp>
                      <wpg:cNvGrpSpPr/>
                      <wpg:grpSpPr>
                        <a:xfrm>
                          <a:off x="0" y="0"/>
                          <a:ext cx="5615940" cy="1873885"/>
                          <a:chOff x="5172" y="4196"/>
                          <a:chExt cx="8844" cy="2951"/>
                        </a:xfrm>
                      </wpg:grpSpPr>
                      <wps:wsp>
                        <wps:cNvPr id="1" name="直线 5"/>
                        <wps:cNvSpPr/>
                        <wps:spPr>
                          <a:xfrm>
                            <a:off x="5172" y="7147"/>
                            <a:ext cx="8844" cy="1"/>
                          </a:xfrm>
                          <a:prstGeom prst="line">
                            <a:avLst/>
                          </a:prstGeom>
                          <a:ln w="12700" cap="flat" cmpd="sng">
                            <a:solidFill>
                              <a:srgbClr val="FF0000"/>
                            </a:solidFill>
                            <a:prstDash val="solid"/>
                            <a:headEnd type="none" w="med" len="med"/>
                            <a:tailEnd type="none" w="med" len="med"/>
                          </a:ln>
                        </wps:spPr>
                        <wps:bodyPr upright="1"/>
                      </wps:wsp>
                      <wps:wsp>
                        <wps:cNvPr id="2" name="文本框 21"/>
                        <wps:cNvSpPr txBox="1"/>
                        <wps:spPr>
                          <a:xfrm>
                            <a:off x="6269" y="4196"/>
                            <a:ext cx="6576" cy="981"/>
                          </a:xfrm>
                          <a:prstGeom prst="rect">
                            <a:avLst/>
                          </a:prstGeom>
                          <a:noFill/>
                          <a:ln>
                            <a:noFill/>
                          </a:ln>
                        </wps:spPr>
                        <wps:txbx>
                          <w:txbxContent>
                            <w:p w14:paraId="1A1334E5">
                              <w:pPr>
                                <w:keepNext w:val="0"/>
                                <w:keepLines w:val="0"/>
                                <w:pageBreakBefore w:val="0"/>
                                <w:widowControl w:val="0"/>
                                <w:kinsoku/>
                                <w:wordWrap/>
                                <w:overflowPunct/>
                                <w:topLinePunct w:val="0"/>
                                <w:autoSpaceDE/>
                                <w:autoSpaceDN/>
                                <w:bidi w:val="0"/>
                                <w:adjustRightInd/>
                                <w:snapToGrid/>
                                <w:spacing w:line="240" w:lineRule="atLeast"/>
                                <w:jc w:val="distribute"/>
                                <w:textAlignment w:val="auto"/>
                                <w:rPr>
                                  <w:rFonts w:hint="eastAsia" w:ascii="方正小标宋简体" w:hAnsi="方正小标宋简体" w:eastAsia="方正小标宋简体" w:cs="方正小标宋简体"/>
                                  <w:b w:val="0"/>
                                  <w:bCs w:val="0"/>
                                  <w:color w:val="FF0000"/>
                                  <w:sz w:val="76"/>
                                  <w:szCs w:val="76"/>
                                  <w:lang w:eastAsia="zh-CN"/>
                                </w:rPr>
                              </w:pPr>
                              <w:r>
                                <w:rPr>
                                  <w:rFonts w:hint="eastAsia" w:ascii="方正小标宋简体" w:hAnsi="方正小标宋简体" w:eastAsia="方正小标宋简体" w:cs="方正小标宋简体"/>
                                  <w:b w:val="0"/>
                                  <w:bCs w:val="0"/>
                                  <w:color w:val="FF0000"/>
                                  <w:sz w:val="76"/>
                                  <w:szCs w:val="76"/>
                                  <w:lang w:eastAsia="zh-CN"/>
                                </w:rPr>
                                <w:t>民政部文件</w:t>
                              </w:r>
                            </w:p>
                          </w:txbxContent>
                        </wps:txbx>
                        <wps:bodyPr vert="horz" wrap="square" lIns="0" tIns="0" rIns="0" bIns="0" anchor="t" anchorCtr="0" upright="1"/>
                      </wps:wsp>
                    </wpg:wgp>
                  </a:graphicData>
                </a:graphic>
              </wp:anchor>
            </w:drawing>
          </mc:Choice>
          <mc:Fallback>
            <w:pict>
              <v:group id="组合 24" o:spid="_x0000_s1026" o:spt="203" style="position:absolute;left:0pt;margin-left:0.3pt;margin-top:10pt;height:147.55pt;width:442.2pt;z-index:251659264;mso-width-relative:page;mso-height-relative:page;" coordorigin="5172,4196" coordsize="8844,2951" o:gfxdata="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KoQ4XjVAAAABwEAAA8AAAAAAAAAAQAgAAAAIgAAAGRycy9k&#10;b3ducmV2LnhtbFBLAQIUABQAAAAIAIdO4kCCL0xT6QIAANkGAAAOAAAAAAAAAAEAIAAAACQBAABk&#10;cnMvZTJvRG9jLnhtbFBLBQYAAAAABgAGAFkBAAB/BgAAAAA=&#10;">
                <o:lock v:ext="edit" aspectratio="f"/>
                <v:line id="直线 5" o:spid="_x0000_s1026" o:spt="20" style="position:absolute;left:5172;top:7147;height:1;width:8844;" filled="f" stroked="t" coordsize="21600,21600" o:gfxdata="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bFersAAADa&#10;AAAADwAAAAAAAAABACAAAAAiAAAAZHJzL2Rvd25yZXYueG1sUEsBAhQAFAAAAAgAh07iQDMvBZ47&#10;AAAAOQAAABAAAAAAAAAAAQAgAAAACgEAAGRycy9zaGFwZXhtbC54bWxQSwUGAAAAAAYABgBbAQAA&#10;tAMAAAAA&#10;">
                  <v:fill on="f" focussize="0,0"/>
                  <v:stroke weight="1pt" color="#FF0000" joinstyle="round"/>
                  <v:imagedata o:title=""/>
                  <o:lock v:ext="edit" aspectratio="f"/>
                </v:line>
                <v:shape id="文本框 21" o:spid="_x0000_s1026" o:spt="202" type="#_x0000_t202" style="position:absolute;left:6269;top:4196;height:981;width:6576;"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A1334E5">
                        <w:pPr>
                          <w:keepNext w:val="0"/>
                          <w:keepLines w:val="0"/>
                          <w:pageBreakBefore w:val="0"/>
                          <w:widowControl w:val="0"/>
                          <w:kinsoku/>
                          <w:wordWrap/>
                          <w:overflowPunct/>
                          <w:topLinePunct w:val="0"/>
                          <w:autoSpaceDE/>
                          <w:autoSpaceDN/>
                          <w:bidi w:val="0"/>
                          <w:adjustRightInd/>
                          <w:snapToGrid/>
                          <w:spacing w:line="240" w:lineRule="atLeast"/>
                          <w:jc w:val="distribute"/>
                          <w:textAlignment w:val="auto"/>
                          <w:rPr>
                            <w:rFonts w:hint="eastAsia" w:ascii="方正小标宋简体" w:hAnsi="方正小标宋简体" w:eastAsia="方正小标宋简体" w:cs="方正小标宋简体"/>
                            <w:b w:val="0"/>
                            <w:bCs w:val="0"/>
                            <w:color w:val="FF0000"/>
                            <w:sz w:val="76"/>
                            <w:szCs w:val="76"/>
                            <w:lang w:eastAsia="zh-CN"/>
                          </w:rPr>
                        </w:pPr>
                        <w:r>
                          <w:rPr>
                            <w:rFonts w:hint="eastAsia" w:ascii="方正小标宋简体" w:hAnsi="方正小标宋简体" w:eastAsia="方正小标宋简体" w:cs="方正小标宋简体"/>
                            <w:b w:val="0"/>
                            <w:bCs w:val="0"/>
                            <w:color w:val="FF0000"/>
                            <w:sz w:val="76"/>
                            <w:szCs w:val="76"/>
                            <w:lang w:eastAsia="zh-CN"/>
                          </w:rPr>
                          <w:t>民政部文件</w:t>
                        </w:r>
                      </w:p>
                    </w:txbxContent>
                  </v:textbox>
                </v:shape>
              </v:group>
            </w:pict>
          </mc:Fallback>
        </mc:AlternateContent>
      </w:r>
    </w:p>
    <w:p w14:paraId="2BCCD53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14:paraId="18A3DB3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14:paraId="48024AE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14:paraId="7813D139">
      <w:pPr>
        <w:keepNext w:val="0"/>
        <w:keepLines w:val="0"/>
        <w:pageBreakBefore w:val="0"/>
        <w:widowControl w:val="0"/>
        <w:kinsoku/>
        <w:wordWrap/>
        <w:overflowPunct/>
        <w:topLinePunct w:val="0"/>
        <w:autoSpaceDE/>
        <w:autoSpaceDN/>
        <w:bidi w:val="0"/>
        <w:adjustRightInd/>
        <w:snapToGrid/>
        <w:spacing w:before="40" w:after="160" w:line="600" w:lineRule="exact"/>
        <w:jc w:val="center"/>
        <w:textAlignment w:val="auto"/>
        <w:rPr>
          <w:rFonts w:hint="default" w:ascii="仿宋_GB2312" w:hAnsi="仿宋_GB2312" w:eastAsia="仿宋_GB2312" w:cs="仿宋_GB2312"/>
          <w:sz w:val="32"/>
          <w:szCs w:val="32"/>
          <w:lang w:val="en-US" w:eastAsia="zh-CN"/>
        </w:rPr>
      </w:pPr>
      <mc:AlternateContent>
        <mc:Choice Requires="wpsCustomData">
          <wpsCustomData:docfieldStart id="2" docfieldname="文号" hidden="0" print="1" readonly="0" index="3"/>
        </mc:Choice>
      </mc:AlternateContent>
      <w:bookmarkStart w:id="2" w:name="文号"/>
      <w:bookmarkEnd w:id="2"/>
      <w:r>
        <w:rPr>
          <w:rFonts w:hint="default" w:ascii="仿宋_GB2312" w:hAnsi="仿宋_GB2312" w:eastAsia="仿宋_GB2312" w:cs="仿宋_GB2312"/>
          <w:sz w:val="32"/>
          <w:szCs w:val="32"/>
          <w:lang w:val="en-US" w:eastAsia="zh-CN"/>
        </w:rPr>
        <w:t>民发〔2025〕44号</w:t>
      </w:r>
      <mc:AlternateContent>
        <mc:Choice Requires="wpsCustomData">
          <wpsCustomData:docfieldEnd id="2"/>
        </mc:Choice>
      </mc:AlternateContent>
    </w:p>
    <w:p w14:paraId="3F68420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321D1BA2">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方正小标宋简体" w:hAnsi="方正小标宋简体" w:eastAsia="方正小标宋简体" w:cs="方正小标宋简体"/>
          <w:sz w:val="44"/>
          <w:szCs w:val="44"/>
          <w:lang w:val="en-US" w:eastAsia="zh-CN"/>
        </w:rPr>
      </w:pPr>
      <mc:AlternateContent>
        <mc:Choice Requires="wpsCustomData">
          <wpsCustomData:docfieldStart id="3" docfieldname="内容" hidden="0" print="1" readonly="0" index="10"/>
        </mc:Choice>
      </mc:AlternateContent>
    </w:p>
    <w:p w14:paraId="56F7B4F5">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民政部关于印发《〈中国康复辅助器具目录〉</w:t>
      </w:r>
    </w:p>
    <w:p w14:paraId="0BD1A51B">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动态调整工作</w:t>
      </w:r>
      <w:r>
        <w:rPr>
          <w:rFonts w:hint="eastAsia" w:ascii="方正小标宋简体" w:hAnsi="方正小标宋简体" w:eastAsia="方正小标宋简体" w:cs="方正小标宋简体"/>
          <w:b w:val="0"/>
          <w:bCs w:val="0"/>
          <w:sz w:val="44"/>
          <w:szCs w:val="44"/>
          <w:lang w:val="en-US" w:eastAsia="zh-CN"/>
        </w:rPr>
        <w:t>规程》的通知</w:t>
      </w:r>
    </w:p>
    <w:p w14:paraId="47C84C34">
      <w:pPr>
        <w:spacing w:line="600" w:lineRule="exact"/>
        <w:jc w:val="center"/>
        <w:rPr>
          <w:rFonts w:hint="eastAsia" w:ascii="方正仿宋_GBK" w:hAnsi="方正仿宋_GBK" w:eastAsia="方正仿宋_GBK" w:cs="方正仿宋_GBK"/>
          <w:sz w:val="32"/>
          <w:szCs w:val="32"/>
          <w:lang w:val="en-US" w:eastAsia="zh-CN"/>
        </w:rPr>
      </w:pPr>
    </w:p>
    <w:p w14:paraId="5264F52B">
      <w:pPr>
        <w:spacing w:line="600" w:lineRule="exac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各省、自治区、直辖市民政厅（局），新疆生产建设兵团民政局；各</w:t>
      </w:r>
      <w:r>
        <w:rPr>
          <w:rFonts w:hint="eastAsia" w:ascii="方正仿宋_GBK" w:hAnsi="方正仿宋_GBK" w:eastAsia="方正仿宋_GBK" w:cs="方正仿宋_GBK"/>
          <w:sz w:val="32"/>
          <w:szCs w:val="32"/>
          <w:lang w:val="en-US" w:eastAsia="zh-CN"/>
        </w:rPr>
        <w:t>有关单位：</w:t>
      </w:r>
    </w:p>
    <w:p w14:paraId="2B0D2D9B">
      <w:pPr>
        <w:spacing w:line="600" w:lineRule="exact"/>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贯彻落实《国务院关于</w:t>
      </w:r>
      <w:r>
        <w:rPr>
          <w:rFonts w:hint="eastAsia" w:ascii="方正仿宋_GBK" w:hAnsi="方正仿宋_GBK" w:eastAsia="方正仿宋_GBK" w:cs="方正仿宋_GBK"/>
          <w:sz w:val="32"/>
          <w:szCs w:val="32"/>
          <w:lang w:val="en-US" w:eastAsia="zh-CN"/>
        </w:rPr>
        <w:t>加快发展康复辅助器具产业的若干意见》（国发〔2016〕60号），健全</w:t>
      </w:r>
      <w:r>
        <w:rPr>
          <w:rFonts w:hint="eastAsia" w:ascii="方正仿宋_GBK" w:hAnsi="方正仿宋_GBK" w:eastAsia="方正仿宋_GBK" w:cs="方正仿宋_GBK"/>
          <w:sz w:val="32"/>
          <w:szCs w:val="32"/>
          <w:lang w:eastAsia="zh-CN"/>
        </w:rPr>
        <w:t>完善《中</w:t>
      </w:r>
      <w:r>
        <w:rPr>
          <w:rFonts w:hint="eastAsia" w:ascii="方正仿宋_GBK" w:hAnsi="方正仿宋_GBK" w:eastAsia="方正仿宋_GBK" w:cs="方正仿宋_GBK"/>
          <w:sz w:val="32"/>
          <w:szCs w:val="32"/>
          <w:lang w:val="en-US" w:eastAsia="zh-CN"/>
        </w:rPr>
        <w:t>国康复辅助器具目录</w:t>
      </w:r>
      <w:r>
        <w:rPr>
          <w:rFonts w:hint="eastAsia" w:ascii="方正仿宋_GBK" w:hAnsi="方正仿宋_GBK" w:eastAsia="方正仿宋_GBK" w:cs="方正仿宋_GBK"/>
          <w:sz w:val="32"/>
          <w:szCs w:val="32"/>
          <w:lang w:eastAsia="zh-CN"/>
        </w:rPr>
        <w:t>》常态化调整机制，促进康复辅助器具更好地服务老年人、残疾人、伤病人等群体，</w:t>
      </w:r>
      <w:r>
        <w:rPr>
          <w:rFonts w:hint="eastAsia" w:ascii="方正仿宋_GBK" w:hAnsi="方正仿宋_GBK" w:eastAsia="方正仿宋_GBK" w:cs="方正仿宋_GBK"/>
          <w:sz w:val="32"/>
          <w:szCs w:val="32"/>
          <w:lang w:val="en-US" w:eastAsia="zh-CN"/>
        </w:rPr>
        <w:t>民政部组织</w:t>
      </w:r>
      <w:r>
        <w:rPr>
          <w:rFonts w:hint="eastAsia" w:ascii="方正仿宋_GBK" w:hAnsi="方正仿宋_GBK" w:eastAsia="方正仿宋_GBK" w:cs="方正仿宋_GBK"/>
          <w:sz w:val="32"/>
          <w:szCs w:val="32"/>
        </w:rPr>
        <w:t>制定</w:t>
      </w:r>
      <w:r>
        <w:rPr>
          <w:rFonts w:hint="eastAsia" w:ascii="方正仿宋_GBK" w:hAnsi="方正仿宋_GBK" w:eastAsia="方正仿宋_GBK" w:cs="方正仿宋_GBK"/>
          <w:sz w:val="32"/>
          <w:szCs w:val="32"/>
          <w:lang w:val="en-US" w:eastAsia="zh-CN"/>
        </w:rPr>
        <w:t>了《〈中国康复辅助器具目录〉动态调整工作规程》。现印发给你们，请认真贯彻落实。</w:t>
      </w:r>
    </w:p>
    <w:p w14:paraId="237560EB">
      <w:pPr>
        <w:spacing w:line="600" w:lineRule="exact"/>
        <w:jc w:val="both"/>
        <w:rPr>
          <w:rFonts w:hint="default" w:ascii="方正仿宋_GBK" w:hAnsi="方正仿宋_GBK" w:eastAsia="方正仿宋_GBK" w:cs="方正仿宋_GBK"/>
          <w:sz w:val="32"/>
          <w:szCs w:val="32"/>
          <w:lang w:val="en-US" w:eastAsia="zh-CN"/>
        </w:rPr>
      </w:pPr>
    </w:p>
    <w:p w14:paraId="4EF24AB3">
      <w:pPr>
        <w:keepNext w:val="0"/>
        <w:keepLines w:val="0"/>
        <w:pageBreakBefore w:val="0"/>
        <w:widowControl w:val="0"/>
        <w:kinsoku/>
        <w:wordWrap w:val="0"/>
        <w:overflowPunct/>
        <w:topLinePunct w:val="0"/>
        <w:autoSpaceDE/>
        <w:autoSpaceDN/>
        <w:bidi w:val="0"/>
        <w:adjustRightInd/>
        <w:snapToGrid/>
        <w:spacing w:line="660" w:lineRule="exact"/>
        <w:ind w:firstLine="5440" w:firstLineChars="17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政</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部</w:t>
      </w:r>
      <w:r>
        <w:rPr>
          <w:rFonts w:hint="eastAsia" w:ascii="方正仿宋_GBK" w:hAnsi="方正仿宋_GBK" w:eastAsia="方正仿宋_GBK" w:cs="方正仿宋_GBK"/>
          <w:sz w:val="32"/>
          <w:szCs w:val="32"/>
          <w:lang w:val="en-US" w:eastAsia="zh-CN"/>
        </w:rPr>
        <w:t xml:space="preserve">      </w:t>
      </w:r>
    </w:p>
    <w:p w14:paraId="257E1E1D">
      <w:pPr>
        <w:spacing w:line="600" w:lineRule="exact"/>
        <w:ind w:firstLine="640"/>
        <w:jc w:val="both"/>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2025年 8月28日  </w:t>
      </w:r>
    </w:p>
    <w:p w14:paraId="6D518013">
      <w:pPr>
        <w:spacing w:line="600" w:lineRule="exact"/>
        <w:ind w:firstLine="640"/>
        <w:jc w:val="both"/>
        <w:rPr>
          <w:rFonts w:hint="eastAsia" w:ascii="方正仿宋_GBK" w:hAnsi="方正仿宋_GBK" w:eastAsia="方正仿宋_GBK" w:cs="方正仿宋_GBK"/>
          <w:sz w:val="32"/>
          <w:szCs w:val="32"/>
          <w:lang w:val="en-US" w:eastAsia="zh-CN"/>
        </w:rPr>
      </w:pPr>
    </w:p>
    <w:p w14:paraId="0529AB62">
      <w:pPr>
        <w:keepNext w:val="0"/>
        <w:keepLines w:val="0"/>
        <w:pageBreakBefore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《中国康复辅助器具目录》</w:t>
      </w:r>
    </w:p>
    <w:p w14:paraId="26868DD1">
      <w:pPr>
        <w:keepNext w:val="0"/>
        <w:keepLines w:val="0"/>
        <w:pageBreakBefore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动态调整工作</w:t>
      </w:r>
      <w:r>
        <w:rPr>
          <w:rFonts w:hint="eastAsia" w:ascii="方正小标宋简体" w:hAnsi="方正小标宋简体" w:eastAsia="方正小标宋简体" w:cs="方正小标宋简体"/>
          <w:b w:val="0"/>
          <w:bCs w:val="0"/>
          <w:color w:val="auto"/>
          <w:sz w:val="44"/>
          <w:szCs w:val="44"/>
          <w:highlight w:val="none"/>
          <w:lang w:val="en-US" w:eastAsia="zh-CN"/>
        </w:rPr>
        <w:t>规程</w:t>
      </w:r>
    </w:p>
    <w:p w14:paraId="797DB3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lang w:val="en-US" w:eastAsia="zh-CN"/>
        </w:rPr>
      </w:pPr>
    </w:p>
    <w:p w14:paraId="641CBD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Times New Roman" w:hAnsi="Times New Roman" w:eastAsia="黑体"/>
          <w:bCs/>
          <w:color w:val="auto"/>
          <w:sz w:val="32"/>
          <w:szCs w:val="32"/>
          <w:highlight w:val="none"/>
        </w:rPr>
        <w:t>第一条</w:t>
      </w:r>
      <w:r>
        <w:rPr>
          <w:rFonts w:hint="eastAsia" w:ascii="Times New Roman" w:hAnsi="Times New Roman" w:eastAsia="黑体"/>
          <w:bCs/>
          <w:color w:val="auto"/>
          <w:sz w:val="32"/>
          <w:szCs w:val="32"/>
          <w:highlight w:val="none"/>
          <w:lang w:val="en-US" w:eastAsia="zh-CN"/>
        </w:rPr>
        <w:t xml:space="preserve"> </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val="en-US" w:eastAsia="zh-CN"/>
        </w:rPr>
        <w:t>规范《</w:t>
      </w:r>
      <w:r>
        <w:rPr>
          <w:rFonts w:hint="eastAsia" w:ascii="仿宋" w:hAnsi="仿宋" w:eastAsia="仿宋" w:cs="仿宋"/>
          <w:color w:val="auto"/>
          <w:sz w:val="32"/>
          <w:szCs w:val="32"/>
          <w:highlight w:val="none"/>
        </w:rPr>
        <w:t>中国康复辅助器具目录》（以下简称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目录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动态调整工作</w:t>
      </w:r>
      <w:r>
        <w:rPr>
          <w:rFonts w:hint="eastAsia" w:ascii="仿宋" w:hAnsi="仿宋" w:eastAsia="仿宋" w:cs="仿宋"/>
          <w:color w:val="auto"/>
          <w:sz w:val="32"/>
          <w:szCs w:val="32"/>
          <w:highlight w:val="none"/>
        </w:rPr>
        <w:t>，</w:t>
      </w:r>
      <w:r>
        <w:rPr>
          <w:rFonts w:hint="eastAsia" w:ascii="仿宋" w:hAnsi="仿宋" w:eastAsia="仿宋" w:cs="仿宋"/>
          <w:i w:val="0"/>
          <w:iCs w:val="0"/>
          <w:caps w:val="0"/>
          <w:color w:val="auto"/>
          <w:spacing w:val="0"/>
          <w:sz w:val="32"/>
          <w:szCs w:val="32"/>
          <w:highlight w:val="none"/>
          <w:shd w:val="clear" w:color="090000" w:fill="auto"/>
          <w:lang w:val="en-US" w:eastAsia="zh-CN"/>
        </w:rPr>
        <w:t>促进康复辅助器具更好地服务</w:t>
      </w:r>
      <w:r>
        <w:rPr>
          <w:rFonts w:hint="default" w:ascii="仿宋" w:hAnsi="仿宋" w:eastAsia="仿宋" w:cs="仿宋"/>
          <w:i w:val="0"/>
          <w:iCs w:val="0"/>
          <w:caps w:val="0"/>
          <w:color w:val="auto"/>
          <w:spacing w:val="0"/>
          <w:sz w:val="32"/>
          <w:szCs w:val="32"/>
          <w:highlight w:val="none"/>
          <w:shd w:val="clear" w:color="090000" w:fill="auto"/>
          <w:lang w:val="en-US" w:eastAsia="zh-CN"/>
        </w:rPr>
        <w:t>老年人、残疾人、伤病人</w:t>
      </w:r>
      <w:r>
        <w:rPr>
          <w:rFonts w:hint="eastAsia" w:ascii="仿宋" w:hAnsi="仿宋" w:eastAsia="仿宋" w:cs="仿宋"/>
          <w:i w:val="0"/>
          <w:iCs w:val="0"/>
          <w:caps w:val="0"/>
          <w:color w:val="auto"/>
          <w:spacing w:val="0"/>
          <w:sz w:val="32"/>
          <w:szCs w:val="32"/>
          <w:highlight w:val="none"/>
          <w:shd w:val="clear" w:color="090000" w:fill="auto"/>
          <w:lang w:val="en-US" w:eastAsia="zh-CN"/>
        </w:rPr>
        <w:t>等群体，</w:t>
      </w:r>
      <w:r>
        <w:rPr>
          <w:rFonts w:hint="eastAsia" w:ascii="仿宋" w:hAnsi="仿宋" w:eastAsia="仿宋" w:cs="仿宋"/>
          <w:color w:val="auto"/>
          <w:sz w:val="32"/>
          <w:szCs w:val="32"/>
          <w:highlight w:val="none"/>
        </w:rPr>
        <w:t>制定本</w:t>
      </w:r>
      <w:r>
        <w:rPr>
          <w:rFonts w:hint="eastAsia" w:ascii="仿宋" w:hAnsi="仿宋" w:eastAsia="仿宋" w:cs="仿宋"/>
          <w:color w:val="auto"/>
          <w:sz w:val="32"/>
          <w:szCs w:val="32"/>
          <w:highlight w:val="none"/>
          <w:lang w:val="en-US" w:eastAsia="zh-CN"/>
        </w:rPr>
        <w:t>规程。</w:t>
      </w:r>
    </w:p>
    <w:p w14:paraId="35CDD62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Times New Roman" w:hAnsi="Times New Roman" w:eastAsia="黑体"/>
          <w:bCs/>
          <w:color w:val="auto"/>
          <w:sz w:val="32"/>
          <w:szCs w:val="32"/>
          <w:highlight w:val="none"/>
          <w:lang w:val="en-US" w:eastAsia="zh-CN"/>
        </w:rPr>
        <w:t xml:space="preserve">第二条 </w:t>
      </w:r>
      <w:r>
        <w:rPr>
          <w:rFonts w:hint="eastAsia" w:ascii="仿宋" w:hAnsi="仿宋" w:eastAsia="仿宋" w:cs="仿宋"/>
          <w:color w:val="auto"/>
          <w:sz w:val="32"/>
          <w:szCs w:val="32"/>
          <w:highlight w:val="none"/>
          <w:lang w:val="en-US" w:eastAsia="zh-CN"/>
        </w:rPr>
        <w:t>《目录》动态调整工作应当立足国情，根据康复辅助器具国家标准变化、技术更新、功能调整、需求变化等情况，参考国际经验，遵循符合最新</w:t>
      </w:r>
      <w:r>
        <w:rPr>
          <w:rFonts w:hint="default" w:ascii="仿宋" w:hAnsi="仿宋" w:eastAsia="仿宋" w:cs="仿宋"/>
          <w:color w:val="auto"/>
          <w:sz w:val="32"/>
          <w:szCs w:val="32"/>
          <w:highlight w:val="none"/>
          <w:lang w:val="en-US" w:eastAsia="zh-CN"/>
        </w:rPr>
        <w:t>科</w:t>
      </w:r>
      <w:r>
        <w:rPr>
          <w:rFonts w:hint="eastAsia" w:ascii="仿宋" w:hAnsi="仿宋" w:eastAsia="仿宋" w:cs="仿宋"/>
          <w:color w:val="auto"/>
          <w:sz w:val="32"/>
          <w:szCs w:val="32"/>
          <w:highlight w:val="none"/>
          <w:lang w:val="en-US" w:eastAsia="zh-CN"/>
        </w:rPr>
        <w:t>技标准、鼓励创新、推动产业高质量发展的原则，遴选收录境内已经生产、供应和使用的康复辅助器具产品。</w:t>
      </w:r>
    </w:p>
    <w:p w14:paraId="0F7DC4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目录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动态调整</w:t>
      </w:r>
      <w:r>
        <w:rPr>
          <w:rFonts w:hint="eastAsia" w:ascii="仿宋" w:hAnsi="仿宋" w:eastAsia="仿宋" w:cs="仿宋"/>
          <w:color w:val="auto"/>
          <w:sz w:val="32"/>
          <w:szCs w:val="32"/>
          <w:highlight w:val="none"/>
        </w:rPr>
        <w:t>包括以下情形：</w:t>
      </w:r>
    </w:p>
    <w:p w14:paraId="22D9A7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（一）调整主类</w:t>
      </w:r>
      <w:r>
        <w:rPr>
          <w:rFonts w:hint="eastAsia" w:ascii="方正仿宋_GBK" w:hAnsi="方正仿宋_GBK" w:eastAsia="方正仿宋_GBK" w:cs="方正仿宋_GBK"/>
          <w:color w:val="auto"/>
          <w:sz w:val="32"/>
          <w:szCs w:val="32"/>
          <w:highlight w:val="none"/>
          <w:lang w:val="en-US" w:eastAsia="zh-CN"/>
        </w:rPr>
        <w:t>顺序和名称；</w:t>
      </w:r>
    </w:p>
    <w:p w14:paraId="0E4501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调整</w:t>
      </w:r>
      <w:r>
        <w:rPr>
          <w:rFonts w:hint="eastAsia" w:ascii="方正仿宋_GBK" w:hAnsi="方正仿宋_GBK" w:eastAsia="方正仿宋_GBK" w:cs="方正仿宋_GBK"/>
          <w:color w:val="auto"/>
          <w:sz w:val="32"/>
          <w:szCs w:val="32"/>
          <w:highlight w:val="none"/>
        </w:rPr>
        <w:t>次类、支类代码和名称；</w:t>
      </w:r>
    </w:p>
    <w:p w14:paraId="3538F86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调整产品描述、预期用途、</w:t>
      </w:r>
      <w:r>
        <w:rPr>
          <w:rFonts w:hint="eastAsia" w:ascii="方正仿宋_GBK" w:hAnsi="方正仿宋_GBK" w:eastAsia="方正仿宋_GBK" w:cs="方正仿宋_GBK"/>
          <w:color w:val="auto"/>
          <w:sz w:val="32"/>
          <w:szCs w:val="32"/>
          <w:highlight w:val="none"/>
        </w:rPr>
        <w:t>品名举例</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类别等内容</w:t>
      </w:r>
      <w:r>
        <w:rPr>
          <w:rFonts w:hint="eastAsia" w:ascii="方正仿宋_GBK" w:hAnsi="方正仿宋_GBK" w:eastAsia="方正仿宋_GBK" w:cs="方正仿宋_GBK"/>
          <w:color w:val="auto"/>
          <w:sz w:val="32"/>
          <w:szCs w:val="32"/>
          <w:highlight w:val="none"/>
        </w:rPr>
        <w:t>；</w:t>
      </w:r>
    </w:p>
    <w:p w14:paraId="4FDE60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四</w:t>
      </w:r>
      <w:r>
        <w:rPr>
          <w:rFonts w:hint="eastAsia" w:ascii="方正仿宋_GBK" w:hAnsi="方正仿宋_GBK" w:eastAsia="方正仿宋_GBK" w:cs="方正仿宋_GBK"/>
          <w:color w:val="auto"/>
          <w:sz w:val="32"/>
          <w:szCs w:val="32"/>
          <w:highlight w:val="none"/>
        </w:rPr>
        <w:t>）删除不适宜</w:t>
      </w:r>
      <w:r>
        <w:rPr>
          <w:rFonts w:hint="eastAsia" w:ascii="方正仿宋_GBK" w:hAnsi="方正仿宋_GBK" w:eastAsia="方正仿宋_GBK" w:cs="方正仿宋_GBK"/>
          <w:color w:val="auto"/>
          <w:sz w:val="32"/>
          <w:szCs w:val="32"/>
          <w:highlight w:val="none"/>
          <w:lang w:val="en-US" w:eastAsia="zh-CN"/>
        </w:rPr>
        <w:t>的康复辅助器具</w:t>
      </w:r>
      <w:r>
        <w:rPr>
          <w:rFonts w:hint="eastAsia" w:ascii="方正仿宋_GBK" w:hAnsi="方正仿宋_GBK" w:eastAsia="方正仿宋_GBK" w:cs="方正仿宋_GBK"/>
          <w:color w:val="auto"/>
          <w:sz w:val="32"/>
          <w:szCs w:val="32"/>
          <w:highlight w:val="none"/>
        </w:rPr>
        <w:t>产品；</w:t>
      </w:r>
    </w:p>
    <w:p w14:paraId="3EAECA3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五</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增补有代表性的</w:t>
      </w:r>
      <w:r>
        <w:rPr>
          <w:rFonts w:hint="eastAsia" w:ascii="方正仿宋_GBK" w:hAnsi="方正仿宋_GBK" w:eastAsia="方正仿宋_GBK" w:cs="方正仿宋_GBK"/>
          <w:strike w:val="0"/>
          <w:color w:val="auto"/>
          <w:sz w:val="32"/>
          <w:szCs w:val="32"/>
          <w:highlight w:val="none"/>
          <w:lang w:val="en-US" w:eastAsia="zh-CN"/>
        </w:rPr>
        <w:t>创新</w:t>
      </w:r>
      <w:r>
        <w:rPr>
          <w:rFonts w:hint="eastAsia" w:ascii="方正仿宋_GBK" w:hAnsi="方正仿宋_GBK" w:eastAsia="方正仿宋_GBK" w:cs="方正仿宋_GBK"/>
          <w:color w:val="auto"/>
          <w:sz w:val="32"/>
          <w:szCs w:val="32"/>
          <w:highlight w:val="none"/>
        </w:rPr>
        <w:t>康复辅助器具产品；</w:t>
      </w:r>
    </w:p>
    <w:p w14:paraId="4F3195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lang w:eastAsia="zh-CN"/>
        </w:rPr>
        <w:t>）其他需要</w:t>
      </w:r>
      <w:r>
        <w:rPr>
          <w:rFonts w:hint="eastAsia" w:ascii="方正仿宋_GBK" w:hAnsi="方正仿宋_GBK" w:eastAsia="方正仿宋_GBK" w:cs="方正仿宋_GBK"/>
          <w:color w:val="auto"/>
          <w:sz w:val="32"/>
          <w:szCs w:val="32"/>
          <w:highlight w:val="none"/>
          <w:lang w:val="en-US" w:eastAsia="zh-CN"/>
        </w:rPr>
        <w:t>修订的情形。</w:t>
      </w:r>
    </w:p>
    <w:p w14:paraId="53E093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仿宋" w:hAnsi="仿宋" w:eastAsia="仿宋" w:cs="仿宋"/>
          <w:color w:val="auto"/>
          <w:sz w:val="32"/>
          <w:szCs w:val="32"/>
          <w:highlight w:val="none"/>
          <w:lang w:val="en-US" w:eastAsia="zh-CN"/>
        </w:rPr>
        <w:t>前款第（三）项规定的产品类别分为Ⅰ类产品、Ⅱ类产品和Ⅲ类产品。Ⅰ类产品是与身体密切接触或者有治疗作用的康复辅助器具，Ⅱ类产品是有功能改善或者代偿作用的康复辅助器具，Ⅲ类产品是日常生活中使用、可提升生活品质的康复辅助器具。</w:t>
      </w:r>
    </w:p>
    <w:p w14:paraId="4BB66D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val="en-US" w:eastAsia="zh-CN"/>
        </w:rPr>
        <w:t xml:space="preserve">第四条 </w:t>
      </w:r>
      <w:r>
        <w:rPr>
          <w:rFonts w:hint="eastAsia" w:ascii="仿宋" w:hAnsi="仿宋" w:eastAsia="仿宋" w:cs="仿宋"/>
          <w:color w:val="auto"/>
          <w:sz w:val="32"/>
          <w:szCs w:val="32"/>
          <w:highlight w:val="none"/>
          <w:lang w:val="en-US" w:eastAsia="zh-CN"/>
        </w:rPr>
        <w:t>境内登记的</w:t>
      </w:r>
      <w:r>
        <w:rPr>
          <w:rFonts w:hint="eastAsia" w:ascii="仿宋" w:hAnsi="仿宋" w:eastAsia="仿宋" w:cs="仿宋"/>
          <w:color w:val="auto"/>
          <w:sz w:val="32"/>
          <w:szCs w:val="32"/>
          <w:highlight w:val="none"/>
          <w:lang w:eastAsia="zh-CN"/>
        </w:rPr>
        <w:t>康复辅助器具生产</w:t>
      </w:r>
      <w:r>
        <w:rPr>
          <w:rFonts w:hint="eastAsia" w:ascii="仿宋" w:hAnsi="仿宋" w:eastAsia="仿宋" w:cs="仿宋"/>
          <w:color w:val="auto"/>
          <w:sz w:val="32"/>
          <w:szCs w:val="32"/>
          <w:highlight w:val="none"/>
          <w:lang w:val="en-US" w:eastAsia="zh-CN"/>
        </w:rPr>
        <w:t>经营机构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配置服务</w:t>
      </w:r>
      <w:r>
        <w:rPr>
          <w:rFonts w:hint="eastAsia" w:ascii="仿宋" w:hAnsi="仿宋" w:eastAsia="仿宋" w:cs="仿宋"/>
          <w:color w:val="auto"/>
          <w:sz w:val="32"/>
          <w:szCs w:val="32"/>
          <w:highlight w:val="none"/>
          <w:lang w:eastAsia="zh-CN"/>
        </w:rPr>
        <w:t>机构、</w:t>
      </w:r>
      <w:r>
        <w:rPr>
          <w:rFonts w:hint="eastAsia" w:ascii="仿宋" w:hAnsi="仿宋" w:eastAsia="仿宋" w:cs="仿宋"/>
          <w:color w:val="auto"/>
          <w:sz w:val="32"/>
          <w:szCs w:val="32"/>
          <w:highlight w:val="none"/>
          <w:lang w:val="en-US" w:eastAsia="zh-CN"/>
        </w:rPr>
        <w:t>使用单位</w:t>
      </w:r>
      <w:r>
        <w:rPr>
          <w:rFonts w:hint="eastAsia" w:ascii="仿宋" w:hAnsi="仿宋" w:eastAsia="仿宋" w:cs="仿宋"/>
          <w:color w:val="auto"/>
          <w:sz w:val="32"/>
          <w:szCs w:val="32"/>
          <w:highlight w:val="none"/>
          <w:lang w:eastAsia="zh-CN"/>
        </w:rPr>
        <w:t>可以向</w:t>
      </w:r>
      <w:r>
        <w:rPr>
          <w:rFonts w:hint="eastAsia" w:ascii="仿宋" w:hAnsi="仿宋" w:eastAsia="仿宋" w:cs="仿宋"/>
          <w:color w:val="auto"/>
          <w:sz w:val="32"/>
          <w:szCs w:val="32"/>
          <w:highlight w:val="none"/>
          <w:lang w:val="en-US" w:eastAsia="zh-CN"/>
        </w:rPr>
        <w:t>企业（机构）</w:t>
      </w:r>
      <w:r>
        <w:rPr>
          <w:rFonts w:hint="eastAsia" w:ascii="仿宋" w:hAnsi="仿宋" w:eastAsia="仿宋" w:cs="仿宋"/>
          <w:color w:val="auto"/>
          <w:sz w:val="32"/>
          <w:szCs w:val="32"/>
          <w:highlight w:val="none"/>
          <w:lang w:eastAsia="zh-CN"/>
        </w:rPr>
        <w:t>注册地所在</w:t>
      </w:r>
      <w:r>
        <w:rPr>
          <w:rFonts w:hint="eastAsia" w:ascii="仿宋" w:hAnsi="仿宋" w:eastAsia="仿宋" w:cs="仿宋"/>
          <w:color w:val="auto"/>
          <w:sz w:val="32"/>
          <w:szCs w:val="32"/>
          <w:highlight w:val="none"/>
          <w:lang w:val="en-US" w:eastAsia="zh-CN"/>
        </w:rPr>
        <w:t>省（区、</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lang w:val="en-US" w:eastAsia="zh-CN"/>
        </w:rPr>
        <w:t>）民政</w:t>
      </w:r>
      <w:r>
        <w:rPr>
          <w:rFonts w:hint="eastAsia" w:ascii="仿宋" w:hAnsi="仿宋" w:eastAsia="仿宋" w:cs="仿宋"/>
          <w:color w:val="auto"/>
          <w:sz w:val="32"/>
          <w:szCs w:val="32"/>
          <w:highlight w:val="none"/>
          <w:lang w:eastAsia="zh-CN"/>
        </w:rPr>
        <w:t>厅（局），新疆生产建设兵团民政局提出《目录》调整建议；境外</w:t>
      </w:r>
      <w:r>
        <w:rPr>
          <w:rFonts w:hint="eastAsia" w:ascii="仿宋" w:hAnsi="仿宋" w:eastAsia="仿宋" w:cs="仿宋"/>
          <w:color w:val="auto"/>
          <w:sz w:val="32"/>
          <w:szCs w:val="32"/>
          <w:highlight w:val="none"/>
          <w:lang w:val="en-US" w:eastAsia="zh-CN"/>
        </w:rPr>
        <w:t>生产经营企业</w:t>
      </w:r>
      <w:r>
        <w:rPr>
          <w:rFonts w:hint="eastAsia" w:ascii="仿宋" w:hAnsi="仿宋" w:eastAsia="仿宋" w:cs="仿宋"/>
          <w:color w:val="auto"/>
          <w:sz w:val="32"/>
          <w:szCs w:val="32"/>
          <w:highlight w:val="none"/>
          <w:lang w:eastAsia="zh-CN"/>
        </w:rPr>
        <w:t>可以委托其境内代理人，向其代理人</w:t>
      </w:r>
      <w:r>
        <w:rPr>
          <w:rFonts w:hint="eastAsia" w:ascii="仿宋" w:hAnsi="仿宋" w:eastAsia="仿宋" w:cs="仿宋"/>
          <w:color w:val="auto"/>
          <w:sz w:val="32"/>
          <w:szCs w:val="32"/>
          <w:highlight w:val="none"/>
          <w:lang w:val="en-US" w:eastAsia="zh-CN"/>
        </w:rPr>
        <w:t>企业（机构）注册地</w:t>
      </w:r>
      <w:r>
        <w:rPr>
          <w:rFonts w:hint="eastAsia" w:ascii="仿宋" w:hAnsi="仿宋" w:eastAsia="仿宋" w:cs="仿宋"/>
          <w:color w:val="auto"/>
          <w:sz w:val="32"/>
          <w:szCs w:val="32"/>
          <w:highlight w:val="none"/>
          <w:lang w:eastAsia="zh-CN"/>
        </w:rPr>
        <w:t>所在</w:t>
      </w:r>
      <w:r>
        <w:rPr>
          <w:rFonts w:hint="eastAsia" w:ascii="仿宋" w:hAnsi="仿宋" w:eastAsia="仿宋" w:cs="仿宋"/>
          <w:color w:val="auto"/>
          <w:sz w:val="32"/>
          <w:szCs w:val="32"/>
          <w:highlight w:val="none"/>
          <w:lang w:val="en-US" w:eastAsia="zh-CN"/>
        </w:rPr>
        <w:t>省（区、</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lang w:val="en-US" w:eastAsia="zh-CN"/>
        </w:rPr>
        <w:t>）民政</w:t>
      </w:r>
      <w:r>
        <w:rPr>
          <w:rFonts w:hint="eastAsia" w:ascii="仿宋" w:hAnsi="仿宋" w:eastAsia="仿宋" w:cs="仿宋"/>
          <w:color w:val="auto"/>
          <w:sz w:val="32"/>
          <w:szCs w:val="32"/>
          <w:highlight w:val="none"/>
          <w:lang w:eastAsia="zh-CN"/>
        </w:rPr>
        <w:t>厅（局），新疆生产建设兵团民政局提出《目录》调整建议。</w:t>
      </w:r>
    </w:p>
    <w:p w14:paraId="5DC523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省（区、</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lang w:val="en-US" w:eastAsia="zh-CN"/>
        </w:rPr>
        <w:t>）民政</w:t>
      </w:r>
      <w:r>
        <w:rPr>
          <w:rFonts w:hint="eastAsia" w:ascii="仿宋" w:hAnsi="仿宋" w:eastAsia="仿宋" w:cs="仿宋"/>
          <w:color w:val="auto"/>
          <w:sz w:val="32"/>
          <w:szCs w:val="32"/>
          <w:highlight w:val="none"/>
          <w:lang w:eastAsia="zh-CN"/>
        </w:rPr>
        <w:t>厅（局），新疆生产建设兵团民政局</w:t>
      </w:r>
      <w:r>
        <w:rPr>
          <w:rFonts w:hint="eastAsia" w:ascii="仿宋" w:hAnsi="仿宋" w:eastAsia="仿宋" w:cs="仿宋"/>
          <w:color w:val="auto"/>
          <w:sz w:val="32"/>
          <w:szCs w:val="32"/>
          <w:highlight w:val="none"/>
          <w:lang w:val="en-US" w:eastAsia="zh-CN"/>
        </w:rPr>
        <w:t>负责对行政区域内《目录》调整建议进行初审，认为符合调整情形的，应当将调整建议报民政部。民政部社会事务司负责承办《目录》调整工作。</w:t>
      </w:r>
    </w:p>
    <w:p w14:paraId="3E94653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第五条 </w:t>
      </w:r>
      <w:r>
        <w:rPr>
          <w:rFonts w:hint="eastAsia" w:ascii="仿宋" w:hAnsi="仿宋" w:eastAsia="仿宋" w:cs="仿宋"/>
          <w:color w:val="auto"/>
          <w:sz w:val="32"/>
          <w:szCs w:val="32"/>
          <w:highlight w:val="none"/>
          <w:lang w:val="en-US" w:eastAsia="zh-CN"/>
        </w:rPr>
        <w:t>民政部相关司局和直属单位，省（区、</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lang w:val="en-US" w:eastAsia="zh-CN"/>
        </w:rPr>
        <w:t>）民政</w:t>
      </w:r>
      <w:r>
        <w:rPr>
          <w:rFonts w:hint="eastAsia" w:ascii="仿宋" w:hAnsi="仿宋" w:eastAsia="仿宋" w:cs="仿宋"/>
          <w:color w:val="auto"/>
          <w:sz w:val="32"/>
          <w:szCs w:val="32"/>
          <w:highlight w:val="none"/>
          <w:lang w:eastAsia="zh-CN"/>
        </w:rPr>
        <w:t>厅（局），新疆生产建设兵团民政局</w:t>
      </w:r>
      <w:r>
        <w:rPr>
          <w:rFonts w:hint="eastAsia" w:ascii="仿宋" w:hAnsi="仿宋" w:eastAsia="仿宋" w:cs="仿宋"/>
          <w:color w:val="auto"/>
          <w:sz w:val="32"/>
          <w:szCs w:val="32"/>
          <w:highlight w:val="none"/>
          <w:lang w:val="en-US" w:eastAsia="zh-CN"/>
        </w:rPr>
        <w:t>，加快发展康复辅助器具产业部际联席会议成员单位，省级及以上康复辅助器具相关协会、学会等社会团体，可以向民政部社会事务司提出《目录》调整建议。</w:t>
      </w:r>
    </w:p>
    <w:p w14:paraId="11F9035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第六条 </w:t>
      </w:r>
      <w:r>
        <w:rPr>
          <w:rFonts w:hint="eastAsia" w:ascii="仿宋" w:hAnsi="仿宋" w:eastAsia="仿宋" w:cs="仿宋"/>
          <w:color w:val="auto"/>
          <w:sz w:val="32"/>
          <w:szCs w:val="32"/>
          <w:highlight w:val="none"/>
          <w:lang w:val="en-US" w:eastAsia="zh-CN"/>
        </w:rPr>
        <w:t>《目录》调整建议和相关材料应当通过民政部统一建设的国家康复辅助器具产品服务信息平台提交，包括但不限于以下内容：</w:t>
      </w:r>
    </w:p>
    <w:p w14:paraId="166323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（一）拟调整的内容和理由；</w:t>
      </w:r>
    </w:p>
    <w:p w14:paraId="4275F3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（二）拟调整产品的产品描述、预期用途、品名举例、类别，以及符合</w:t>
      </w:r>
      <w:r>
        <w:rPr>
          <w:rFonts w:hint="eastAsia" w:ascii="仿宋" w:hAnsi="仿宋" w:eastAsia="仿宋" w:cs="仿宋"/>
          <w:color w:val="auto"/>
          <w:sz w:val="32"/>
          <w:szCs w:val="32"/>
          <w:highlight w:val="none"/>
        </w:rPr>
        <w:t>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Ⅱ</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Ⅲ</w:t>
      </w:r>
      <w:r>
        <w:rPr>
          <w:rFonts w:hint="eastAsia" w:ascii="仿宋" w:hAnsi="仿宋" w:eastAsia="仿宋" w:cs="仿宋"/>
          <w:color w:val="auto"/>
          <w:sz w:val="32"/>
          <w:szCs w:val="32"/>
          <w:highlight w:val="none"/>
          <w:lang w:val="en-US" w:eastAsia="zh-CN"/>
        </w:rPr>
        <w:t>类产品类别的支持性材料</w:t>
      </w:r>
      <w:r>
        <w:rPr>
          <w:rFonts w:hint="eastAsia" w:ascii="仿宋" w:hAnsi="仿宋" w:eastAsia="仿宋" w:cs="仿宋"/>
          <w:color w:val="auto"/>
          <w:sz w:val="32"/>
          <w:szCs w:val="32"/>
          <w:highlight w:val="none"/>
          <w:lang w:eastAsia="zh-CN"/>
        </w:rPr>
        <w:t>。</w:t>
      </w:r>
    </w:p>
    <w:p w14:paraId="33FA7C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（三）拟调整产品的技术特点、与已上市同类产品的比较和使用效果等情况</w:t>
      </w:r>
      <w:r>
        <w:rPr>
          <w:rFonts w:hint="eastAsia" w:ascii="仿宋" w:hAnsi="仿宋" w:eastAsia="仿宋" w:cs="仿宋"/>
          <w:color w:val="auto"/>
          <w:sz w:val="32"/>
          <w:szCs w:val="32"/>
          <w:highlight w:val="none"/>
          <w:lang w:eastAsia="zh-CN"/>
        </w:rPr>
        <w:t>；</w:t>
      </w:r>
    </w:p>
    <w:p w14:paraId="68455B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（四）拟调整产品的销售情况、产业现状和应用案例等；</w:t>
      </w:r>
    </w:p>
    <w:p w14:paraId="76DF68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（五）拟调整</w:t>
      </w:r>
      <w:r>
        <w:rPr>
          <w:rFonts w:hint="eastAsia" w:ascii="仿宋" w:hAnsi="仿宋" w:eastAsia="仿宋" w:cs="仿宋"/>
          <w:color w:val="auto"/>
          <w:sz w:val="32"/>
          <w:szCs w:val="32"/>
          <w:highlight w:val="none"/>
        </w:rPr>
        <w:t>产品</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主要风险点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不良事件等情况（如适用）。</w:t>
      </w:r>
    </w:p>
    <w:p w14:paraId="13A0EF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第七条 </w:t>
      </w:r>
      <w:r>
        <w:rPr>
          <w:rFonts w:hint="eastAsia" w:ascii="仿宋" w:hAnsi="仿宋" w:eastAsia="仿宋" w:cs="仿宋"/>
          <w:color w:val="auto"/>
          <w:sz w:val="32"/>
          <w:szCs w:val="32"/>
          <w:highlight w:val="none"/>
          <w:lang w:val="en-US" w:eastAsia="zh-CN"/>
        </w:rPr>
        <w:t>民政部社会事务司收到《目录》调整建议，应当及时审核材料，客观分析评估产品功能属性、应用场景、风险因素等情况，根据《目录》调整标准，结合境内康复辅助器具行业管理实践，综合研判形成初步调整意见。</w:t>
      </w:r>
    </w:p>
    <w:p w14:paraId="79EBFB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民政部社会事务司可以根据需要，委托相关单位或者专业机构开展与《目录》动态调整有关的工作。</w:t>
      </w:r>
    </w:p>
    <w:p w14:paraId="67D03A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第八条 </w:t>
      </w:r>
      <w:r>
        <w:rPr>
          <w:rFonts w:hint="eastAsia" w:ascii="方正仿宋_GBK" w:hAnsi="方正仿宋_GBK" w:eastAsia="方正仿宋_GBK" w:cs="方正仿宋_GBK"/>
          <w:color w:val="auto"/>
          <w:sz w:val="32"/>
          <w:szCs w:val="32"/>
          <w:highlight w:val="none"/>
          <w:lang w:val="en-US" w:eastAsia="zh-CN"/>
        </w:rPr>
        <w:t>《目录》调整的主要判断标准包括：</w:t>
      </w:r>
    </w:p>
    <w:p w14:paraId="21869C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（一）属于国家标准《康复辅助器具 分类和术语》规定的主类产品；</w:t>
      </w:r>
    </w:p>
    <w:p w14:paraId="38CB6D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（二）适用于肢体、视力、听力、言语、认知、社会交往等身心功能障碍人士；</w:t>
      </w:r>
    </w:p>
    <w:p w14:paraId="5A7340E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（三）已在市场销售、应用，有一定的用户认知度和满意度；</w:t>
      </w:r>
    </w:p>
    <w:p w14:paraId="682C3C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（四）产品原材料符合国家相关质量标准要求；</w:t>
      </w:r>
    </w:p>
    <w:p w14:paraId="1CB7BAF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（五）有健全的售后、应用服务体系。</w:t>
      </w:r>
    </w:p>
    <w:p w14:paraId="37DEAB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第九条</w:t>
      </w:r>
      <w:r>
        <w:rPr>
          <w:rFonts w:hint="eastAsia" w:ascii="仿宋" w:hAnsi="仿宋" w:eastAsia="仿宋" w:cs="仿宋"/>
          <w:color w:val="auto"/>
          <w:sz w:val="32"/>
          <w:szCs w:val="32"/>
          <w:highlight w:val="none"/>
          <w:lang w:val="en-US" w:eastAsia="zh-CN"/>
        </w:rPr>
        <w:t xml:space="preserve"> 民政部社会事务司将《目录》初步调整意见在民政部网站和国家康复辅助器具产品服务信息平台同时向社会公开征求意见1个月，并根据征求意见情况修订完善，形成《目录》拟调整意见。</w:t>
      </w:r>
    </w:p>
    <w:p w14:paraId="3F5FCD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第十条 </w:t>
      </w:r>
      <w:r>
        <w:rPr>
          <w:rFonts w:hint="eastAsia" w:ascii="仿宋" w:hAnsi="仿宋" w:eastAsia="仿宋" w:cs="仿宋"/>
          <w:color w:val="auto"/>
          <w:sz w:val="32"/>
          <w:szCs w:val="32"/>
          <w:highlight w:val="none"/>
          <w:lang w:val="en-US" w:eastAsia="zh-CN"/>
        </w:rPr>
        <w:t>民政部社会事务司应当按照下列条件组织成立《目录》审核专家工作组，审核《目录》拟调整意见：</w:t>
      </w:r>
    </w:p>
    <w:p w14:paraId="0ADCA9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（一）专家应具有康复辅助器具行业从业经验8年以上，并具备高级专业技术职称或同等专业水平；</w:t>
      </w:r>
    </w:p>
    <w:p w14:paraId="5FD1E37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（二）专家工作组审议《目录》主要采取会议评审方式进行，必要时还可采取召开座谈会、论证会、实地调研等形式听取意见；</w:t>
      </w:r>
    </w:p>
    <w:p w14:paraId="46201A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（三）专家工作组人数根据工作需要确定，原则上不少于9人，且为单数；</w:t>
      </w:r>
    </w:p>
    <w:p w14:paraId="4631D6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（四）专家工作组意见存在分歧时，按照少数服从多数的原则作出决议；</w:t>
      </w:r>
    </w:p>
    <w:p w14:paraId="187EDA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（五）专家与《目录》</w:t>
      </w:r>
      <w:r>
        <w:rPr>
          <w:rFonts w:hint="eastAsia" w:ascii="仿宋" w:hAnsi="仿宋" w:eastAsia="仿宋" w:cs="仿宋"/>
          <w:color w:val="auto"/>
          <w:sz w:val="32"/>
          <w:szCs w:val="32"/>
          <w:highlight w:val="none"/>
        </w:rPr>
        <w:t>拟调整意见</w:t>
      </w:r>
      <w:r>
        <w:rPr>
          <w:rFonts w:hint="eastAsia" w:ascii="仿宋" w:hAnsi="仿宋" w:eastAsia="仿宋" w:cs="仿宋"/>
          <w:color w:val="auto"/>
          <w:sz w:val="32"/>
          <w:szCs w:val="32"/>
          <w:highlight w:val="none"/>
          <w:lang w:val="en-US" w:eastAsia="zh-CN"/>
        </w:rPr>
        <w:t>的相关方有直接利害关系的，应当回避。</w:t>
      </w:r>
    </w:p>
    <w:p w14:paraId="2A6D3D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第十一条 </w:t>
      </w:r>
      <w:r>
        <w:rPr>
          <w:rFonts w:hint="eastAsia" w:ascii="方正仿宋_GBK" w:hAnsi="方正仿宋_GBK" w:eastAsia="方正仿宋_GBK" w:cs="方正仿宋_GBK"/>
          <w:color w:val="auto"/>
          <w:sz w:val="32"/>
          <w:szCs w:val="32"/>
          <w:highlight w:val="none"/>
          <w:lang w:val="en-US" w:eastAsia="zh-CN"/>
        </w:rPr>
        <w:t>通过专家工作组审核的拟调整意见，由民政部社会事务司研究审核后，按照程序提交部长办公会审议，并按程序向社会公告。</w:t>
      </w:r>
    </w:p>
    <w:p w14:paraId="398D51A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民政部社会事务司根据《目录》调整公告，在国家康复辅助器具产品服务信息平台更新《目录》，并及时调整《目录》数据库。</w:t>
      </w:r>
    </w:p>
    <w:p w14:paraId="6AA2C0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十三</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《目录》</w:t>
      </w:r>
      <w:r>
        <w:rPr>
          <w:rFonts w:hint="eastAsia" w:ascii="仿宋" w:hAnsi="仿宋" w:eastAsia="仿宋" w:cs="仿宋"/>
          <w:color w:val="auto"/>
          <w:sz w:val="32"/>
          <w:szCs w:val="32"/>
          <w:highlight w:val="none"/>
        </w:rPr>
        <w:t>根据需要进行调整，调整工作原则上每年不少于一次。</w:t>
      </w:r>
    </w:p>
    <w:p w14:paraId="6B36E51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十四</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sz w:val="32"/>
          <w:szCs w:val="32"/>
          <w:highlight w:val="none"/>
          <w:lang w:val="en-US" w:eastAsia="zh-CN"/>
        </w:rPr>
        <w:t xml:space="preserve"> </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en-US" w:eastAsia="zh-CN"/>
        </w:rPr>
        <w:t>规程</w:t>
      </w:r>
      <w:r>
        <w:rPr>
          <w:rFonts w:hint="eastAsia" w:ascii="仿宋" w:hAnsi="仿宋" w:eastAsia="仿宋" w:cs="仿宋"/>
          <w:color w:val="auto"/>
          <w:sz w:val="32"/>
          <w:szCs w:val="32"/>
          <w:highlight w:val="none"/>
        </w:rPr>
        <w:t>自公布之日起实施</w:t>
      </w:r>
      <w:r>
        <w:rPr>
          <w:rFonts w:hint="eastAsia" w:ascii="仿宋" w:hAnsi="仿宋" w:eastAsia="仿宋" w:cs="仿宋"/>
          <w:color w:val="auto"/>
          <w:sz w:val="32"/>
          <w:szCs w:val="32"/>
          <w:highlight w:val="none"/>
          <w:lang w:eastAsia="zh-CN"/>
        </w:rPr>
        <w:t>。</w:t>
      </w:r>
    </w:p>
    <mc:AlternateContent>
      <mc:Choice Requires="wpsCustomData">
        <wpsCustomData:docfieldEnd id="3"/>
      </mc:Choice>
    </mc:AlternateContent>
    <w:p w14:paraId="57565B6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highlight w:val="none"/>
          <w:lang w:val="en-US" w:eastAsia="zh-CN"/>
        </w:rPr>
      </w:pPr>
      <w:bookmarkStart w:id="3" w:name="二维码"/>
      <w:bookmarkEnd w:id="3"/>
      <mc:AlternateContent>
        <mc:Choice Requires="wpsCustomData">
          <wpsCustomData:docfieldStart id="4" docfieldname="二维码" hidden="0" print="1" readonly="0" index="9"/>
        </mc:Choice>
      </mc:AlternateContent>
      <mc:AlternateContent>
        <mc:Choice Requires="wpsCustomData">
          <wpsCustomData:docfieldEnd id="4"/>
        </mc:Choice>
      </mc:AlternateContent>
    </w:p>
    <w:sectPr>
      <w:footerReference r:id="rId3" w:type="default"/>
      <w:pgSz w:w="11906" w:h="16838"/>
      <w:pgMar w:top="2098" w:right="1531" w:bottom="1559" w:left="1531" w:header="992" w:footer="1474"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1C055">
    <w:pPr>
      <w:widowControl w:val="0"/>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FCC5C">
                          <w:pPr>
                            <w:rPr>
                              <w:rFonts w:hint="eastAsia" w:ascii="宋体" w:hAnsi="宋体" w:eastAsia="宋体" w:cs="宋体"/>
                              <w:sz w:val="28"/>
                              <w:lang w:val="en-US"/>
                            </w:rPr>
                          </w:pPr>
                          <w:r>
                            <w:rPr>
                              <w:rFonts w:hint="eastAsia" w:ascii="宋体" w:hAnsi="宋体" w:eastAsia="宋体" w:cs="宋体"/>
                              <w:sz w:val="28"/>
                              <w:lang w:val="en-US"/>
                            </w:rPr>
                            <w:t xml:space="preserve">— </w:t>
                          </w:r>
                          <w:r>
                            <w:rPr>
                              <w:rFonts w:hint="eastAsia" w:ascii="宋体" w:hAnsi="宋体" w:eastAsia="宋体" w:cs="宋体"/>
                              <w:sz w:val="28"/>
                              <w:lang w:val="en-US"/>
                            </w:rPr>
                            <w:fldChar w:fldCharType="begin"/>
                          </w:r>
                          <w:r>
                            <w:rPr>
                              <w:rFonts w:hint="eastAsia" w:ascii="宋体" w:hAnsi="宋体" w:eastAsia="宋体" w:cs="宋体"/>
                              <w:sz w:val="28"/>
                              <w:lang w:val="en-US"/>
                            </w:rPr>
                            <w:instrText xml:space="preserve"> PAGE  \* MERGEFORMAT </w:instrText>
                          </w:r>
                          <w:r>
                            <w:rPr>
                              <w:rFonts w:hint="eastAsia" w:ascii="宋体" w:hAnsi="宋体" w:eastAsia="宋体" w:cs="宋体"/>
                              <w:sz w:val="28"/>
                              <w:lang w:val="en-US"/>
                            </w:rPr>
                            <w:fldChar w:fldCharType="separate"/>
                          </w:r>
                          <w:r>
                            <w:rPr>
                              <w:rFonts w:hint="eastAsia" w:ascii="宋体" w:hAnsi="宋体" w:eastAsia="宋体" w:cs="宋体"/>
                              <w:sz w:val="28"/>
                              <w:lang w:val="en-US"/>
                            </w:rPr>
                            <w:t>1</w:t>
                          </w:r>
                          <w:r>
                            <w:rPr>
                              <w:rFonts w:hint="eastAsia" w:ascii="宋体" w:hAnsi="宋体" w:eastAsia="宋体" w:cs="宋体"/>
                              <w:sz w:val="28"/>
                              <w:lang w:val="en-US"/>
                            </w:rPr>
                            <w:fldChar w:fldCharType="end"/>
                          </w:r>
                          <w:r>
                            <w:rPr>
                              <w:rFonts w:hint="eastAsia" w:ascii="宋体" w:hAnsi="宋体" w:eastAsia="宋体" w:cs="宋体"/>
                              <w:sz w:val="28"/>
                              <w:lang w:val="en-US"/>
                            </w:rPr>
                            <w:t xml:space="preserve"> —</w:t>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6.75pt;height:144pt;width:144pt;mso-position-horizontal:outside;mso-position-horizontal-relative:margin;mso-wrap-style:none;z-index:251659264;mso-width-relative:page;mso-height-relative:page;" filled="f" stroked="f" coordsize="21600,21600" o:gfxdata="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5k3K0wAAAAcBAAAPAAAAAAAA&#10;AAEAIAAAACIAAABkcnMvZG93bnJldi54bWxQSwECFAAUAAAACACHTuJAjegT6t4BAAC+AwAADgAA&#10;AAAAAAABACAAAAAiAQAAZHJzL2Uyb0RvYy54bWxQSwUGAAAAAAYABgBZAQAAcgUAAAAA&#10;">
              <v:fill on="f" focussize="0,0"/>
              <v:stroke on="f"/>
              <v:imagedata o:title=""/>
              <o:lock v:ext="edit" aspectratio="f"/>
              <v:textbox inset="0mm,0mm,0mm,0mm" style="mso-fit-shape-to-text:t;">
                <w:txbxContent>
                  <w:p w14:paraId="2FBFCC5C">
                    <w:pPr>
                      <w:rPr>
                        <w:rFonts w:hint="eastAsia" w:ascii="宋体" w:hAnsi="宋体" w:eastAsia="宋体" w:cs="宋体"/>
                        <w:sz w:val="28"/>
                        <w:lang w:val="en-US"/>
                      </w:rPr>
                    </w:pPr>
                    <w:r>
                      <w:rPr>
                        <w:rFonts w:hint="eastAsia" w:ascii="宋体" w:hAnsi="宋体" w:eastAsia="宋体" w:cs="宋体"/>
                        <w:sz w:val="28"/>
                        <w:lang w:val="en-US"/>
                      </w:rPr>
                      <w:t xml:space="preserve">— </w:t>
                    </w:r>
                    <w:r>
                      <w:rPr>
                        <w:rFonts w:hint="eastAsia" w:ascii="宋体" w:hAnsi="宋体" w:eastAsia="宋体" w:cs="宋体"/>
                        <w:sz w:val="28"/>
                        <w:lang w:val="en-US"/>
                      </w:rPr>
                      <w:fldChar w:fldCharType="begin"/>
                    </w:r>
                    <w:r>
                      <w:rPr>
                        <w:rFonts w:hint="eastAsia" w:ascii="宋体" w:hAnsi="宋体" w:eastAsia="宋体" w:cs="宋体"/>
                        <w:sz w:val="28"/>
                        <w:lang w:val="en-US"/>
                      </w:rPr>
                      <w:instrText xml:space="preserve"> PAGE  \* MERGEFORMAT </w:instrText>
                    </w:r>
                    <w:r>
                      <w:rPr>
                        <w:rFonts w:hint="eastAsia" w:ascii="宋体" w:hAnsi="宋体" w:eastAsia="宋体" w:cs="宋体"/>
                        <w:sz w:val="28"/>
                        <w:lang w:val="en-US"/>
                      </w:rPr>
                      <w:fldChar w:fldCharType="separate"/>
                    </w:r>
                    <w:r>
                      <w:rPr>
                        <w:rFonts w:hint="eastAsia" w:ascii="宋体" w:hAnsi="宋体" w:eastAsia="宋体" w:cs="宋体"/>
                        <w:sz w:val="28"/>
                        <w:lang w:val="en-US"/>
                      </w:rPr>
                      <w:t>1</w:t>
                    </w:r>
                    <w:r>
                      <w:rPr>
                        <w:rFonts w:hint="eastAsia" w:ascii="宋体" w:hAnsi="宋体" w:eastAsia="宋体" w:cs="宋体"/>
                        <w:sz w:val="28"/>
                        <w:lang w:val="en-US"/>
                      </w:rPr>
                      <w:fldChar w:fldCharType="end"/>
                    </w:r>
                    <w:r>
                      <w:rPr>
                        <w:rFonts w:hint="eastAsia" w:ascii="宋体" w:hAnsi="宋体" w:eastAsia="宋体" w:cs="宋体"/>
                        <w:sz w:val="28"/>
                        <w:lang w:val="en-US"/>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82ED7"/>
    <w:rsid w:val="079FCB62"/>
    <w:rsid w:val="07AFC4D3"/>
    <w:rsid w:val="0EFE32F8"/>
    <w:rsid w:val="0FB54E61"/>
    <w:rsid w:val="0FFA110C"/>
    <w:rsid w:val="1235791F"/>
    <w:rsid w:val="1FF7BFBF"/>
    <w:rsid w:val="241A2687"/>
    <w:rsid w:val="2E6F3DC6"/>
    <w:rsid w:val="2F4FC435"/>
    <w:rsid w:val="36EED5DC"/>
    <w:rsid w:val="36F7BC9B"/>
    <w:rsid w:val="38B92017"/>
    <w:rsid w:val="39AFEFC1"/>
    <w:rsid w:val="3BE25538"/>
    <w:rsid w:val="3EAB0813"/>
    <w:rsid w:val="3F7F73BB"/>
    <w:rsid w:val="4F5BD864"/>
    <w:rsid w:val="56FFEADF"/>
    <w:rsid w:val="57FFB8CE"/>
    <w:rsid w:val="5BC8791C"/>
    <w:rsid w:val="5BFB631F"/>
    <w:rsid w:val="5DBA5598"/>
    <w:rsid w:val="5EAFB628"/>
    <w:rsid w:val="5FBB67C3"/>
    <w:rsid w:val="5FFD0C18"/>
    <w:rsid w:val="66DD67CE"/>
    <w:rsid w:val="675BA4CA"/>
    <w:rsid w:val="67DF189B"/>
    <w:rsid w:val="6FCFC02E"/>
    <w:rsid w:val="6FFFAA25"/>
    <w:rsid w:val="74FFF612"/>
    <w:rsid w:val="75BBA3EF"/>
    <w:rsid w:val="76750C20"/>
    <w:rsid w:val="77B3ED92"/>
    <w:rsid w:val="78D4C685"/>
    <w:rsid w:val="7A7FDF2F"/>
    <w:rsid w:val="7A97E7E6"/>
    <w:rsid w:val="7AD67E45"/>
    <w:rsid w:val="7AEF3571"/>
    <w:rsid w:val="7BFED546"/>
    <w:rsid w:val="7DBD2802"/>
    <w:rsid w:val="7DF69D0B"/>
    <w:rsid w:val="7DFB4359"/>
    <w:rsid w:val="7E745329"/>
    <w:rsid w:val="7EEF6D73"/>
    <w:rsid w:val="7EF61262"/>
    <w:rsid w:val="7EF7AC98"/>
    <w:rsid w:val="7F39985E"/>
    <w:rsid w:val="7F3F8F06"/>
    <w:rsid w:val="7F5FF59E"/>
    <w:rsid w:val="7F875C1E"/>
    <w:rsid w:val="7F9EC295"/>
    <w:rsid w:val="7FBF8992"/>
    <w:rsid w:val="7FE77034"/>
    <w:rsid w:val="7FEF8D7C"/>
    <w:rsid w:val="7FFDD7D1"/>
    <w:rsid w:val="7FFF0970"/>
    <w:rsid w:val="83BF0893"/>
    <w:rsid w:val="9FD7EE42"/>
    <w:rsid w:val="A7F7914A"/>
    <w:rsid w:val="AFB96FEB"/>
    <w:rsid w:val="B4FEC851"/>
    <w:rsid w:val="B7FB2DE6"/>
    <w:rsid w:val="BE6DF439"/>
    <w:rsid w:val="BEFD911D"/>
    <w:rsid w:val="BFB61172"/>
    <w:rsid w:val="BFE9C5CE"/>
    <w:rsid w:val="BFFECE51"/>
    <w:rsid w:val="BFFF8C59"/>
    <w:rsid w:val="C73E5EBE"/>
    <w:rsid w:val="C7FD8CA6"/>
    <w:rsid w:val="D5FF7B11"/>
    <w:rsid w:val="D76BFCE7"/>
    <w:rsid w:val="DFFFD7BB"/>
    <w:rsid w:val="EBEFEB48"/>
    <w:rsid w:val="EE5E1D09"/>
    <w:rsid w:val="EE9D1C36"/>
    <w:rsid w:val="EEFFBC77"/>
    <w:rsid w:val="EF1E121A"/>
    <w:rsid w:val="EFBB05E5"/>
    <w:rsid w:val="F35D4748"/>
    <w:rsid w:val="F3E83FB1"/>
    <w:rsid w:val="F3FD1414"/>
    <w:rsid w:val="F692470F"/>
    <w:rsid w:val="F6FF6AE7"/>
    <w:rsid w:val="F7EE981D"/>
    <w:rsid w:val="F7EF1DAD"/>
    <w:rsid w:val="FB3F42A7"/>
    <w:rsid w:val="FCDFED07"/>
    <w:rsid w:val="FCF7E8CA"/>
    <w:rsid w:val="FDBA2090"/>
    <w:rsid w:val="FDBD4292"/>
    <w:rsid w:val="FEEF07FC"/>
    <w:rsid w:val="FF758D6C"/>
    <w:rsid w:val="FF760F33"/>
    <w:rsid w:val="FFBFC15A"/>
    <w:rsid w:val="FFC5A281"/>
    <w:rsid w:val="FFCBEA33"/>
    <w:rsid w:val="FFDF4884"/>
    <w:rsid w:val="FFDFB8D1"/>
    <w:rsid w:val="FFFB5AE2"/>
    <w:rsid w:val="FFFBD7D8"/>
    <w:rsid w:val="FFFF7B07"/>
    <w:rsid w:val="FFFFF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semiHidden/>
    <w:qFormat/>
    <w:uiPriority w:val="0"/>
  </w:style>
  <w:style w:type="paragraph" w:customStyle="1" w:styleId="8">
    <w:name w:val="Char Char Char Char Char Char Char"/>
    <w:basedOn w:val="1"/>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227</Words>
  <Characters>239</Characters>
  <Lines>0</Lines>
  <Paragraphs>0</Paragraphs>
  <TotalTime>24</TotalTime>
  <ScaleCrop>false</ScaleCrop>
  <LinksUpToDate>false</LinksUpToDate>
  <CharactersWithSpaces>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Administrator</dc:creator>
  <cp:lastModifiedBy>安如少年初如梦</cp:lastModifiedBy>
  <cp:lastPrinted>2025-09-01T22:29:11Z</cp:lastPrinted>
  <dcterms:modified xsi:type="dcterms:W3CDTF">2021-09-02T07:14:46Z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565A79F7383449869EFC39F95AE93C30_13</vt:lpwstr>
  </property>
  <property fmtid="{D5CDD505-2E9C-101B-9397-08002B2CF9AE}" pid="4" name="KSOTemplateDocerSaveRecord">
    <vt:lpwstr>eyJoZGlkIjoiNGUxNWJjYTM4M2FkYWIxMjk4YjBkY2JmNWZkNzM2NTYiLCJ1c2VySWQiOiIyMDMzMzM2OTUifQ==</vt:lpwstr>
  </property>
</Properties>
</file>